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685302" w14:textId="77777777" w:rsidR="009A6B0E" w:rsidRDefault="001D6D0F" w:rsidP="00722C14">
      <w:pPr>
        <w:pStyle w:val="Heading1"/>
        <w:keepNext w:val="0"/>
        <w:keepLines w:val="0"/>
      </w:pPr>
      <w:bookmarkStart w:id="0" w:name="_GoBack"/>
      <w:bookmarkEnd w:id="0"/>
      <w:r>
        <w:rPr>
          <w:rtl/>
        </w:rPr>
        <w:t>טיוטת תקנות</w:t>
      </w:r>
    </w:p>
    <w:p w14:paraId="3F456CF6" w14:textId="77777777" w:rsidR="009A6B0E" w:rsidRDefault="009A6B0E" w:rsidP="00722C14">
      <w:pPr>
        <w:rPr>
          <w:rtl/>
        </w:rPr>
      </w:pPr>
    </w:p>
    <w:p w14:paraId="6571EF28" w14:textId="77777777" w:rsidR="009A6B0E" w:rsidRDefault="001D6D0F" w:rsidP="00F24A78">
      <w:pPr>
        <w:pStyle w:val="Heading4"/>
        <w:rPr>
          <w:rtl/>
        </w:rPr>
      </w:pPr>
      <w:r>
        <w:rPr>
          <w:rFonts w:hint="cs"/>
          <w:rtl/>
        </w:rPr>
        <w:t>שם התקנות המוצעות</w:t>
      </w:r>
    </w:p>
    <w:p w14:paraId="5EF0D0E8" w14:textId="43C9C09D" w:rsidR="009A6B0E" w:rsidRDefault="001D6D0F" w:rsidP="00FB3070">
      <w:r>
        <w:rPr>
          <w:rFonts w:hint="cs"/>
          <w:rtl/>
        </w:rPr>
        <w:t xml:space="preserve">תקנות </w:t>
      </w:r>
      <w:r w:rsidR="005F6E1A">
        <w:rPr>
          <w:rFonts w:hint="cs"/>
          <w:rtl/>
        </w:rPr>
        <w:t>ההגבלים העסקי</w:t>
      </w:r>
      <w:r w:rsidR="00175C93">
        <w:rPr>
          <w:rFonts w:hint="cs"/>
          <w:rtl/>
        </w:rPr>
        <w:t xml:space="preserve">ים (סדרי דין בבית הדין ובערעור), (תיקון מס' </w:t>
      </w:r>
      <w:r w:rsidR="00483F25">
        <w:rPr>
          <w:rFonts w:hint="cs"/>
          <w:rtl/>
        </w:rPr>
        <w:t>2</w:t>
      </w:r>
      <w:r w:rsidR="00175C93">
        <w:rPr>
          <w:rFonts w:hint="cs"/>
          <w:rtl/>
        </w:rPr>
        <w:t>), התש</w:t>
      </w:r>
      <w:r w:rsidR="00E01D19">
        <w:rPr>
          <w:rFonts w:hint="cs"/>
          <w:rtl/>
        </w:rPr>
        <w:t>פ"א</w:t>
      </w:r>
      <w:r w:rsidR="00175C93">
        <w:rPr>
          <w:rFonts w:hint="cs"/>
          <w:rtl/>
        </w:rPr>
        <w:t>-</w:t>
      </w:r>
      <w:r w:rsidR="00E01D19">
        <w:rPr>
          <w:rFonts w:hint="cs"/>
          <w:rtl/>
        </w:rPr>
        <w:t xml:space="preserve">2021 </w:t>
      </w:r>
    </w:p>
    <w:p w14:paraId="578B4C64" w14:textId="77777777" w:rsidR="009A6B0E" w:rsidRPr="00483F25" w:rsidRDefault="009A6B0E" w:rsidP="00722C14">
      <w:pPr>
        <w:rPr>
          <w:rtl/>
        </w:rPr>
      </w:pPr>
    </w:p>
    <w:p w14:paraId="15FE78B0" w14:textId="77777777" w:rsidR="009A6B0E" w:rsidRDefault="001D6D0F" w:rsidP="00175C93">
      <w:pPr>
        <w:pStyle w:val="Heading4"/>
        <w:rPr>
          <w:rtl/>
        </w:rPr>
      </w:pPr>
      <w:r>
        <w:rPr>
          <w:rFonts w:hint="cs"/>
          <w:rtl/>
        </w:rPr>
        <w:t xml:space="preserve">מטרת התקנות המוצעות והצורך בהן </w:t>
      </w:r>
    </w:p>
    <w:p w14:paraId="5E68C20A" w14:textId="05138455" w:rsidR="009A6B0E" w:rsidRDefault="001D6D0F" w:rsidP="00492D6F">
      <w:pPr>
        <w:rPr>
          <w:rtl/>
        </w:rPr>
      </w:pPr>
      <w:r>
        <w:rPr>
          <w:rFonts w:hint="cs"/>
          <w:rtl/>
        </w:rPr>
        <w:t xml:space="preserve">מטרת </w:t>
      </w:r>
      <w:r w:rsidR="000D21E0">
        <w:rPr>
          <w:rFonts w:hint="cs"/>
          <w:rtl/>
        </w:rPr>
        <w:t xml:space="preserve">התיקון </w:t>
      </w:r>
      <w:r>
        <w:rPr>
          <w:rFonts w:hint="cs"/>
          <w:rtl/>
        </w:rPr>
        <w:t>היא</w:t>
      </w:r>
      <w:r w:rsidR="000D21E0">
        <w:rPr>
          <w:rFonts w:hint="cs"/>
          <w:rtl/>
        </w:rPr>
        <w:t xml:space="preserve"> להתאים את</w:t>
      </w:r>
      <w:r w:rsidR="002E7A7F">
        <w:rPr>
          <w:rFonts w:hint="cs"/>
          <w:rtl/>
        </w:rPr>
        <w:t xml:space="preserve"> הוראות</w:t>
      </w:r>
      <w:r w:rsidR="000D21E0">
        <w:rPr>
          <w:rFonts w:hint="cs"/>
          <w:rtl/>
        </w:rPr>
        <w:t xml:space="preserve"> תקנות ההגבלים העסקיים (סדרי דין בבית הדין ובערעור), </w:t>
      </w:r>
      <w:r w:rsidR="00C21B2A">
        <w:rPr>
          <w:rFonts w:hint="cs"/>
          <w:rtl/>
        </w:rPr>
        <w:t>ה</w:t>
      </w:r>
      <w:r w:rsidR="000D21E0">
        <w:rPr>
          <w:rFonts w:hint="cs"/>
          <w:rtl/>
        </w:rPr>
        <w:t>תשמ"ט</w:t>
      </w:r>
      <w:r w:rsidR="00C21B2A">
        <w:rPr>
          <w:rtl/>
        </w:rPr>
        <w:noBreakHyphen/>
      </w:r>
      <w:r w:rsidR="000D21E0">
        <w:rPr>
          <w:rFonts w:hint="cs"/>
          <w:rtl/>
        </w:rPr>
        <w:t>1988 לרפורמה בתקנות סדר הדין האזרחי</w:t>
      </w:r>
      <w:r w:rsidR="00C338B5">
        <w:rPr>
          <w:rFonts w:hint="cs"/>
          <w:rtl/>
        </w:rPr>
        <w:t xml:space="preserve"> (</w:t>
      </w:r>
      <w:r w:rsidR="00C21B2A">
        <w:rPr>
          <w:rFonts w:hint="cs"/>
          <w:rtl/>
        </w:rPr>
        <w:t>תקנות סדר הדין האזרחי, התשע"ט</w:t>
      </w:r>
      <w:r w:rsidR="00C21B2A">
        <w:rPr>
          <w:rtl/>
        </w:rPr>
        <w:noBreakHyphen/>
      </w:r>
      <w:r w:rsidR="00C21B2A">
        <w:rPr>
          <w:rFonts w:hint="cs"/>
          <w:rtl/>
        </w:rPr>
        <w:t xml:space="preserve">2018, </w:t>
      </w:r>
      <w:r w:rsidR="00C338B5">
        <w:rPr>
          <w:rFonts w:hint="cs"/>
          <w:rtl/>
        </w:rPr>
        <w:t xml:space="preserve">פורסמו </w:t>
      </w:r>
      <w:proofErr w:type="spellStart"/>
      <w:r w:rsidR="00C338B5">
        <w:rPr>
          <w:rFonts w:hint="cs"/>
          <w:rtl/>
        </w:rPr>
        <w:t>ק"ת</w:t>
      </w:r>
      <w:proofErr w:type="spellEnd"/>
      <w:r w:rsidR="00C338B5">
        <w:rPr>
          <w:rFonts w:hint="cs"/>
          <w:rtl/>
        </w:rPr>
        <w:t xml:space="preserve"> תשע"ט מס' 8085 מיום 11.10.2018, עמ' 422</w:t>
      </w:r>
      <w:r w:rsidR="00492D6F">
        <w:rPr>
          <w:rFonts w:hint="cs"/>
          <w:rtl/>
        </w:rPr>
        <w:t>. נכנסו</w:t>
      </w:r>
      <w:r w:rsidR="00E01D19">
        <w:rPr>
          <w:rFonts w:hint="cs"/>
          <w:rtl/>
        </w:rPr>
        <w:t xml:space="preserve"> לתוקף ביום 1.1.2021</w:t>
      </w:r>
      <w:r w:rsidR="00170A65">
        <w:rPr>
          <w:rFonts w:hint="cs"/>
          <w:rtl/>
        </w:rPr>
        <w:t>)</w:t>
      </w:r>
      <w:r w:rsidR="000D21E0">
        <w:rPr>
          <w:rFonts w:hint="cs"/>
          <w:rtl/>
        </w:rPr>
        <w:t>.</w:t>
      </w:r>
      <w:r w:rsidR="00AD03FF">
        <w:rPr>
          <w:rFonts w:hint="cs"/>
          <w:rtl/>
        </w:rPr>
        <w:t xml:space="preserve"> </w:t>
      </w:r>
    </w:p>
    <w:p w14:paraId="73E8EC1F" w14:textId="77777777" w:rsidR="00C338B5" w:rsidRDefault="00C338B5" w:rsidP="00722C14">
      <w:pPr>
        <w:rPr>
          <w:rtl/>
        </w:rPr>
      </w:pPr>
    </w:p>
    <w:p w14:paraId="49B75015" w14:textId="77777777" w:rsidR="009A6B0E" w:rsidRDefault="001D6D0F" w:rsidP="00F24A78">
      <w:pPr>
        <w:pStyle w:val="Heading4"/>
      </w:pPr>
      <w:r>
        <w:rPr>
          <w:rFonts w:hint="cs"/>
          <w:rtl/>
        </w:rPr>
        <w:t xml:space="preserve">להלן נוסח טיוטת התקנות המוצעות: </w:t>
      </w:r>
    </w:p>
    <w:p w14:paraId="188801FC" w14:textId="77777777" w:rsidR="009A6B0E" w:rsidRDefault="001D6D0F" w:rsidP="00722C14">
      <w:pPr>
        <w:bidi w:val="0"/>
      </w:pPr>
      <w:r>
        <w:rPr>
          <w:rtl/>
        </w:rPr>
        <w:br w:type="page"/>
      </w:r>
    </w:p>
    <w:p w14:paraId="34C0D78C" w14:textId="3C4E3D9D" w:rsidR="009A6B0E" w:rsidRDefault="001D6D0F" w:rsidP="00D24308">
      <w:pPr>
        <w:pStyle w:val="HeadHatzaotHok"/>
        <w:keepNext w:val="0"/>
        <w:keepLines w:val="0"/>
        <w:rPr>
          <w:rtl/>
        </w:rPr>
      </w:pPr>
      <w:r>
        <w:rPr>
          <w:rtl/>
        </w:rPr>
        <w:lastRenderedPageBreak/>
        <w:t xml:space="preserve">טיוטת תקנות </w:t>
      </w:r>
      <w:r w:rsidR="00AD03FF">
        <w:rPr>
          <w:rFonts w:hint="cs"/>
          <w:rtl/>
        </w:rPr>
        <w:t xml:space="preserve">ההגבלים העסקיים (סדרי דין בבית הדין ובערעור) </w:t>
      </w:r>
      <w:r>
        <w:rPr>
          <w:rtl/>
        </w:rPr>
        <w:t>(תיקון מס'</w:t>
      </w:r>
      <w:r w:rsidR="00483F25">
        <w:rPr>
          <w:rFonts w:hint="cs"/>
          <w:rtl/>
        </w:rPr>
        <w:t xml:space="preserve"> 2</w:t>
      </w:r>
      <w:r>
        <w:rPr>
          <w:rtl/>
        </w:rPr>
        <w:t>)</w:t>
      </w:r>
      <w:r w:rsidR="00AD03FF">
        <w:rPr>
          <w:rFonts w:hint="cs"/>
          <w:rtl/>
        </w:rPr>
        <w:t>, התש</w:t>
      </w:r>
      <w:r w:rsidR="00D24308">
        <w:rPr>
          <w:rFonts w:hint="cs"/>
          <w:rtl/>
        </w:rPr>
        <w:t>פ</w:t>
      </w:r>
      <w:r w:rsidR="00AD03FF">
        <w:rPr>
          <w:rFonts w:hint="cs"/>
          <w:rtl/>
        </w:rPr>
        <w:t>"</w:t>
      </w:r>
      <w:r w:rsidR="00D24308">
        <w:rPr>
          <w:rFonts w:hint="cs"/>
          <w:rtl/>
        </w:rPr>
        <w:t>א</w:t>
      </w:r>
      <w:r w:rsidR="00AD03FF">
        <w:rPr>
          <w:rFonts w:hint="cs"/>
          <w:rtl/>
        </w:rPr>
        <w:t>-202</w:t>
      </w:r>
      <w:r w:rsidR="00D24308">
        <w:rPr>
          <w:rFonts w:hint="cs"/>
          <w:rtl/>
        </w:rPr>
        <w:t>1</w:t>
      </w:r>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D96F40" w14:paraId="12575BF1" w14:textId="77777777" w:rsidTr="00B321E8">
        <w:trPr>
          <w:cantSplit/>
          <w:trHeight w:val="60"/>
        </w:trPr>
        <w:tc>
          <w:tcPr>
            <w:tcW w:w="1871" w:type="dxa"/>
          </w:tcPr>
          <w:p w14:paraId="6519D5C5" w14:textId="77777777" w:rsidR="009A6B0E" w:rsidRDefault="009A6B0E">
            <w:pPr>
              <w:pStyle w:val="TableSideHeading"/>
              <w:rPr>
                <w:rtl/>
              </w:rPr>
            </w:pPr>
          </w:p>
        </w:tc>
        <w:tc>
          <w:tcPr>
            <w:tcW w:w="624" w:type="dxa"/>
          </w:tcPr>
          <w:p w14:paraId="2B2AE473" w14:textId="77777777" w:rsidR="009A6B0E" w:rsidRDefault="009A6B0E">
            <w:pPr>
              <w:pStyle w:val="TableText"/>
            </w:pPr>
          </w:p>
        </w:tc>
        <w:tc>
          <w:tcPr>
            <w:tcW w:w="7146" w:type="dxa"/>
            <w:hideMark/>
          </w:tcPr>
          <w:p w14:paraId="278AC940" w14:textId="209E95B7" w:rsidR="009A6B0E" w:rsidRDefault="001D6D0F" w:rsidP="00170DD3">
            <w:pPr>
              <w:pStyle w:val="TableBlock"/>
            </w:pPr>
            <w:r>
              <w:rPr>
                <w:rtl/>
              </w:rPr>
              <w:t>בתוקף סמכותי לפי סעיף</w:t>
            </w:r>
            <w:r w:rsidR="00AD03FF">
              <w:rPr>
                <w:rFonts w:hint="cs"/>
                <w:rtl/>
              </w:rPr>
              <w:t xml:space="preserve"> 40</w:t>
            </w:r>
            <w:r>
              <w:rPr>
                <w:rtl/>
              </w:rPr>
              <w:t xml:space="preserve"> לחוק </w:t>
            </w:r>
            <w:r w:rsidR="00AD03FF">
              <w:rPr>
                <w:rFonts w:hint="cs"/>
                <w:rtl/>
              </w:rPr>
              <w:t>התחרות הכלכלית, התשמ"ח-1988</w:t>
            </w:r>
            <w:r>
              <w:rPr>
                <w:rStyle w:val="FootnoteReference"/>
                <w:rtl/>
              </w:rPr>
              <w:footnoteReference w:id="1"/>
            </w:r>
            <w:r>
              <w:rPr>
                <w:rtl/>
              </w:rPr>
              <w:t>, אני מתקין תקנות אלה:</w:t>
            </w:r>
          </w:p>
        </w:tc>
      </w:tr>
      <w:tr w:rsidR="00D96F40" w14:paraId="37595CB2" w14:textId="77777777" w:rsidTr="00B321E8">
        <w:trPr>
          <w:cantSplit/>
          <w:trHeight w:val="60"/>
        </w:trPr>
        <w:tc>
          <w:tcPr>
            <w:tcW w:w="1871" w:type="dxa"/>
          </w:tcPr>
          <w:p w14:paraId="3C6EEF2A" w14:textId="77777777" w:rsidR="00D76895" w:rsidRDefault="001D6D0F" w:rsidP="00D76895">
            <w:pPr>
              <w:pStyle w:val="TableSideHeading"/>
              <w:rPr>
                <w:rtl/>
              </w:rPr>
            </w:pPr>
            <w:r>
              <w:rPr>
                <w:rFonts w:hint="cs"/>
                <w:rtl/>
              </w:rPr>
              <w:t>תיקון שם התקנות</w:t>
            </w:r>
          </w:p>
        </w:tc>
        <w:tc>
          <w:tcPr>
            <w:tcW w:w="624" w:type="dxa"/>
          </w:tcPr>
          <w:p w14:paraId="06D9E418" w14:textId="77777777" w:rsidR="00D76895" w:rsidRDefault="00D76895" w:rsidP="009A6B0E">
            <w:pPr>
              <w:pStyle w:val="TableText"/>
              <w:numPr>
                <w:ilvl w:val="0"/>
                <w:numId w:val="2"/>
              </w:numPr>
            </w:pPr>
          </w:p>
        </w:tc>
        <w:tc>
          <w:tcPr>
            <w:tcW w:w="7146" w:type="dxa"/>
          </w:tcPr>
          <w:p w14:paraId="70102B48" w14:textId="77777777" w:rsidR="00D76895" w:rsidRDefault="001D6D0F" w:rsidP="00D76895">
            <w:pPr>
              <w:pStyle w:val="TableBlock"/>
              <w:rPr>
                <w:rtl/>
              </w:rPr>
            </w:pPr>
            <w:r>
              <w:rPr>
                <w:rFonts w:hint="cs"/>
                <w:rtl/>
              </w:rPr>
              <w:t>בתקנות ההגבלים העסקיים (סדרי דין בבית הדין ובערעור), התשמ"ט-1988</w:t>
            </w:r>
            <w:r>
              <w:rPr>
                <w:rStyle w:val="FootnoteReference"/>
                <w:rtl/>
              </w:rPr>
              <w:footnoteReference w:id="2"/>
            </w:r>
            <w:r>
              <w:rPr>
                <w:rFonts w:hint="cs"/>
                <w:rtl/>
              </w:rPr>
              <w:t xml:space="preserve"> (להלן - התקנות העיקריות), בשם התקנות, במקום "ההגבלים העסקיים" יבוא "התחרות הכלכלית".</w:t>
            </w:r>
          </w:p>
        </w:tc>
      </w:tr>
      <w:tr w:rsidR="004A4B7F" w14:paraId="02E3A8AB" w14:textId="77777777">
        <w:trPr>
          <w:cantSplit/>
          <w:trHeight w:val="60"/>
        </w:trPr>
        <w:tc>
          <w:tcPr>
            <w:tcW w:w="1871" w:type="dxa"/>
          </w:tcPr>
          <w:p w14:paraId="30CAD6AE" w14:textId="615982F9" w:rsidR="004A4B7F" w:rsidRDefault="004A4B7F" w:rsidP="007E751D">
            <w:pPr>
              <w:pStyle w:val="TableSideHeading"/>
              <w:keepLines w:val="0"/>
            </w:pPr>
            <w:r>
              <w:rPr>
                <w:rFonts w:hint="cs"/>
                <w:rtl/>
              </w:rPr>
              <w:t>תיקון הפתיח</w:t>
            </w:r>
          </w:p>
        </w:tc>
        <w:tc>
          <w:tcPr>
            <w:tcW w:w="624" w:type="dxa"/>
          </w:tcPr>
          <w:p w14:paraId="709A9984" w14:textId="77777777" w:rsidR="004A4B7F" w:rsidRDefault="004A4B7F" w:rsidP="004A4B7F">
            <w:pPr>
              <w:pStyle w:val="TableText"/>
              <w:keepLines w:val="0"/>
              <w:numPr>
                <w:ilvl w:val="0"/>
                <w:numId w:val="4"/>
              </w:numPr>
            </w:pPr>
          </w:p>
        </w:tc>
        <w:tc>
          <w:tcPr>
            <w:tcW w:w="7146" w:type="dxa"/>
          </w:tcPr>
          <w:p w14:paraId="760041A7" w14:textId="4324F9EF" w:rsidR="004A4B7F" w:rsidRPr="00C34DE2" w:rsidRDefault="004A4B7F" w:rsidP="007E751D">
            <w:pPr>
              <w:pStyle w:val="TableBlock"/>
              <w:keepLines w:val="0"/>
            </w:pPr>
            <w:r>
              <w:rPr>
                <w:rFonts w:hint="cs"/>
                <w:rtl/>
              </w:rPr>
              <w:t>בפתיח לתקנות העיקריות במקום "ההגבלים העסקיים" יבוא "התחרות הכלכלית".</w:t>
            </w:r>
          </w:p>
        </w:tc>
      </w:tr>
      <w:tr w:rsidR="00D96F40" w14:paraId="69A78997" w14:textId="77777777" w:rsidTr="00B321E8">
        <w:trPr>
          <w:cantSplit/>
          <w:trHeight w:val="60"/>
        </w:trPr>
        <w:tc>
          <w:tcPr>
            <w:tcW w:w="1871" w:type="dxa"/>
          </w:tcPr>
          <w:p w14:paraId="7A45F619" w14:textId="77777777" w:rsidR="00D76895" w:rsidRDefault="001D6D0F">
            <w:pPr>
              <w:pStyle w:val="TableSideHeading"/>
              <w:rPr>
                <w:rtl/>
              </w:rPr>
            </w:pPr>
            <w:r>
              <w:rPr>
                <w:rFonts w:hint="cs"/>
                <w:rtl/>
              </w:rPr>
              <w:t>תיקון תקנה 1</w:t>
            </w:r>
          </w:p>
        </w:tc>
        <w:tc>
          <w:tcPr>
            <w:tcW w:w="624" w:type="dxa"/>
          </w:tcPr>
          <w:p w14:paraId="68FF0A53" w14:textId="77777777" w:rsidR="00D76895" w:rsidRDefault="00D76895" w:rsidP="009A6B0E">
            <w:pPr>
              <w:pStyle w:val="TableText"/>
              <w:numPr>
                <w:ilvl w:val="0"/>
                <w:numId w:val="2"/>
              </w:numPr>
            </w:pPr>
          </w:p>
        </w:tc>
        <w:tc>
          <w:tcPr>
            <w:tcW w:w="7146" w:type="dxa"/>
          </w:tcPr>
          <w:p w14:paraId="1B3C0C10" w14:textId="77777777" w:rsidR="00D76895" w:rsidRDefault="001D6D0F" w:rsidP="009D2D38">
            <w:pPr>
              <w:pStyle w:val="TableBlock"/>
              <w:rPr>
                <w:rtl/>
              </w:rPr>
            </w:pPr>
            <w:r>
              <w:rPr>
                <w:rFonts w:hint="cs"/>
                <w:rtl/>
              </w:rPr>
              <w:t>בתקנה 1 לתקנות העיקריות, במקום ההגדרה "תקנות סדר הדין" יבוא:</w:t>
            </w:r>
          </w:p>
        </w:tc>
      </w:tr>
      <w:tr w:rsidR="00D96F40" w14:paraId="04BFD31D" w14:textId="77777777" w:rsidTr="00B321E8">
        <w:trPr>
          <w:cantSplit/>
          <w:trHeight w:val="60"/>
        </w:trPr>
        <w:tc>
          <w:tcPr>
            <w:tcW w:w="1871" w:type="dxa"/>
          </w:tcPr>
          <w:p w14:paraId="5B566682" w14:textId="77777777" w:rsidR="009D2D38" w:rsidRDefault="009D2D38">
            <w:pPr>
              <w:pStyle w:val="TableSideHeading"/>
              <w:rPr>
                <w:rtl/>
              </w:rPr>
            </w:pPr>
          </w:p>
        </w:tc>
        <w:tc>
          <w:tcPr>
            <w:tcW w:w="624" w:type="dxa"/>
          </w:tcPr>
          <w:p w14:paraId="1CA75E59" w14:textId="77777777" w:rsidR="009D2D38" w:rsidRDefault="009D2D38" w:rsidP="009A6EE2">
            <w:pPr>
              <w:pStyle w:val="TableText"/>
            </w:pPr>
          </w:p>
        </w:tc>
        <w:tc>
          <w:tcPr>
            <w:tcW w:w="7146" w:type="dxa"/>
          </w:tcPr>
          <w:p w14:paraId="5BDB3CFE" w14:textId="77777777" w:rsidR="009D2D38" w:rsidRDefault="001D6D0F" w:rsidP="009D2D38">
            <w:pPr>
              <w:pStyle w:val="TableBlock"/>
              <w:rPr>
                <w:rtl/>
              </w:rPr>
            </w:pPr>
            <w:r>
              <w:rPr>
                <w:rFonts w:hint="cs"/>
                <w:rtl/>
              </w:rPr>
              <w:t xml:space="preserve">""תקנות סדר הדין" </w:t>
            </w:r>
            <w:r>
              <w:rPr>
                <w:rtl/>
              </w:rPr>
              <w:t>–</w:t>
            </w:r>
            <w:r>
              <w:rPr>
                <w:rFonts w:hint="cs"/>
                <w:rtl/>
              </w:rPr>
              <w:t xml:space="preserve"> תקנות סדר הדין האזרחי, התשע"ט-2018.</w:t>
            </w:r>
            <w:r>
              <w:rPr>
                <w:rStyle w:val="FootnoteReference"/>
                <w:rtl/>
              </w:rPr>
              <w:footnoteReference w:id="3"/>
            </w:r>
            <w:r>
              <w:rPr>
                <w:rFonts w:hint="cs"/>
                <w:rtl/>
              </w:rPr>
              <w:t>"</w:t>
            </w:r>
          </w:p>
        </w:tc>
      </w:tr>
      <w:tr w:rsidR="00D96F40" w14:paraId="32633B2D" w14:textId="77777777" w:rsidTr="00B321E8">
        <w:trPr>
          <w:cantSplit/>
          <w:trHeight w:val="60"/>
        </w:trPr>
        <w:tc>
          <w:tcPr>
            <w:tcW w:w="1871" w:type="dxa"/>
          </w:tcPr>
          <w:p w14:paraId="4E12B628" w14:textId="77777777" w:rsidR="00D74FEC" w:rsidRDefault="001D6D0F">
            <w:pPr>
              <w:pStyle w:val="TableSideHeading"/>
              <w:rPr>
                <w:rtl/>
              </w:rPr>
            </w:pPr>
            <w:r>
              <w:rPr>
                <w:rFonts w:hint="cs"/>
                <w:rtl/>
              </w:rPr>
              <w:t>תיקון תקנה 3</w:t>
            </w:r>
          </w:p>
        </w:tc>
        <w:tc>
          <w:tcPr>
            <w:tcW w:w="624" w:type="dxa"/>
          </w:tcPr>
          <w:p w14:paraId="3EE30655" w14:textId="77777777" w:rsidR="00D74FEC" w:rsidRDefault="00D74FEC" w:rsidP="009A6B0E">
            <w:pPr>
              <w:pStyle w:val="TableText"/>
              <w:numPr>
                <w:ilvl w:val="0"/>
                <w:numId w:val="2"/>
              </w:numPr>
            </w:pPr>
          </w:p>
        </w:tc>
        <w:tc>
          <w:tcPr>
            <w:tcW w:w="7146" w:type="dxa"/>
          </w:tcPr>
          <w:p w14:paraId="2676B0A4" w14:textId="57B4F106" w:rsidR="00D74FEC" w:rsidRDefault="001D6D0F" w:rsidP="00D76895">
            <w:pPr>
              <w:pStyle w:val="TableBlock"/>
              <w:rPr>
                <w:rtl/>
              </w:rPr>
            </w:pPr>
            <w:r>
              <w:rPr>
                <w:rFonts w:hint="cs"/>
                <w:rtl/>
              </w:rPr>
              <w:t>בתקנה 3</w:t>
            </w:r>
            <w:r w:rsidR="004A4B7F">
              <w:rPr>
                <w:rFonts w:hint="cs"/>
                <w:rtl/>
              </w:rPr>
              <w:t>(א)</w:t>
            </w:r>
            <w:r>
              <w:rPr>
                <w:rFonts w:hint="cs"/>
                <w:rtl/>
              </w:rPr>
              <w:t xml:space="preserve"> לתקנות העיקריות, במקום "</w:t>
            </w:r>
            <w:r w:rsidRPr="00BC1B32">
              <w:rPr>
                <w:rtl/>
              </w:rPr>
              <w:t>במספר עותקים מספיק לבית הדין ולהמצאה לבעלי הדין</w:t>
            </w:r>
            <w:r>
              <w:rPr>
                <w:rFonts w:hint="cs"/>
                <w:rtl/>
              </w:rPr>
              <w:t xml:space="preserve">" יבוא "לבית הדין". </w:t>
            </w:r>
          </w:p>
        </w:tc>
      </w:tr>
      <w:tr w:rsidR="00D96F40" w14:paraId="53C9286C" w14:textId="77777777" w:rsidTr="00B321E8">
        <w:trPr>
          <w:cantSplit/>
          <w:trHeight w:val="60"/>
        </w:trPr>
        <w:tc>
          <w:tcPr>
            <w:tcW w:w="1871" w:type="dxa"/>
          </w:tcPr>
          <w:p w14:paraId="23E1FEA6" w14:textId="77777777" w:rsidR="00BC1B32" w:rsidRDefault="001D6D0F">
            <w:pPr>
              <w:pStyle w:val="TableSideHeading"/>
              <w:rPr>
                <w:rtl/>
              </w:rPr>
            </w:pPr>
            <w:r>
              <w:rPr>
                <w:rFonts w:hint="cs"/>
                <w:rtl/>
              </w:rPr>
              <w:t xml:space="preserve">תיקון תקנה 16 </w:t>
            </w:r>
          </w:p>
        </w:tc>
        <w:tc>
          <w:tcPr>
            <w:tcW w:w="624" w:type="dxa"/>
          </w:tcPr>
          <w:p w14:paraId="2FF2DCDB" w14:textId="77777777" w:rsidR="00BC1B32" w:rsidRDefault="00BC1B32" w:rsidP="009A6B0E">
            <w:pPr>
              <w:pStyle w:val="TableText"/>
              <w:numPr>
                <w:ilvl w:val="0"/>
                <w:numId w:val="2"/>
              </w:numPr>
            </w:pPr>
          </w:p>
        </w:tc>
        <w:tc>
          <w:tcPr>
            <w:tcW w:w="7146" w:type="dxa"/>
          </w:tcPr>
          <w:p w14:paraId="130F7A07" w14:textId="26DAF7E1" w:rsidR="00BC1B32" w:rsidRDefault="001D6D0F" w:rsidP="00BC1B32">
            <w:pPr>
              <w:pStyle w:val="TableBlock"/>
              <w:rPr>
                <w:rtl/>
              </w:rPr>
            </w:pPr>
            <w:r>
              <w:rPr>
                <w:rFonts w:hint="cs"/>
                <w:rtl/>
              </w:rPr>
              <w:t>בתקנה 16</w:t>
            </w:r>
            <w:r w:rsidR="004A4B7F">
              <w:rPr>
                <w:rFonts w:hint="cs"/>
                <w:rtl/>
              </w:rPr>
              <w:t>(א)</w:t>
            </w:r>
            <w:r>
              <w:rPr>
                <w:rFonts w:hint="cs"/>
                <w:rtl/>
              </w:rPr>
              <w:t xml:space="preserve"> לתקנות העיקריות, המילים</w:t>
            </w:r>
            <w:r w:rsidRPr="00BC1B32">
              <w:rPr>
                <w:rFonts w:hint="cs"/>
                <w:rtl/>
              </w:rPr>
              <w:t xml:space="preserve"> "</w:t>
            </w:r>
            <w:r w:rsidRPr="00BC1B32">
              <w:rPr>
                <w:rtl/>
              </w:rPr>
              <w:t>במספר עותקים מספיק בשביל בית הדין ולשם המצאה לכל אחד מבעלי הד</w:t>
            </w:r>
            <w:r w:rsidRPr="00BC1B32">
              <w:rPr>
                <w:rFonts w:hint="cs"/>
                <w:rtl/>
              </w:rPr>
              <w:t xml:space="preserve">ין" </w:t>
            </w:r>
            <w:r w:rsidRPr="00BC1B32">
              <w:rPr>
                <w:rtl/>
              </w:rPr>
              <w:t>–</w:t>
            </w:r>
            <w:r w:rsidRPr="00BC1B32">
              <w:rPr>
                <w:rFonts w:hint="cs"/>
                <w:rtl/>
              </w:rPr>
              <w:t xml:space="preserve"> יימחקו.</w:t>
            </w:r>
            <w:r>
              <w:rPr>
                <w:rFonts w:ascii="FrankRuehl" w:hAnsi="FrankRuehl" w:cs="FrankRuehl" w:hint="cs"/>
                <w:color w:val="000000"/>
                <w:sz w:val="26"/>
                <w:rtl/>
              </w:rPr>
              <w:t xml:space="preserve"> </w:t>
            </w:r>
          </w:p>
        </w:tc>
      </w:tr>
      <w:tr w:rsidR="00D96F40" w14:paraId="66B7931C" w14:textId="77777777" w:rsidTr="00B321E8">
        <w:trPr>
          <w:cantSplit/>
          <w:trHeight w:val="60"/>
        </w:trPr>
        <w:tc>
          <w:tcPr>
            <w:tcW w:w="1871" w:type="dxa"/>
          </w:tcPr>
          <w:p w14:paraId="672094D1" w14:textId="77777777" w:rsidR="00BC1B32" w:rsidRDefault="001D6D0F">
            <w:pPr>
              <w:pStyle w:val="TableSideHeading"/>
              <w:rPr>
                <w:rtl/>
              </w:rPr>
            </w:pPr>
            <w:r>
              <w:rPr>
                <w:rFonts w:hint="cs"/>
                <w:rtl/>
              </w:rPr>
              <w:t>תיקון תקנה 17</w:t>
            </w:r>
          </w:p>
        </w:tc>
        <w:tc>
          <w:tcPr>
            <w:tcW w:w="624" w:type="dxa"/>
          </w:tcPr>
          <w:p w14:paraId="67FA111B" w14:textId="77777777" w:rsidR="00BC1B32" w:rsidRDefault="00BC1B32" w:rsidP="009A6B0E">
            <w:pPr>
              <w:pStyle w:val="TableText"/>
              <w:numPr>
                <w:ilvl w:val="0"/>
                <w:numId w:val="2"/>
              </w:numPr>
            </w:pPr>
          </w:p>
        </w:tc>
        <w:tc>
          <w:tcPr>
            <w:tcW w:w="7146" w:type="dxa"/>
          </w:tcPr>
          <w:p w14:paraId="7F6F2A52" w14:textId="4230F954" w:rsidR="00BC1B32" w:rsidRDefault="001D6D0F" w:rsidP="00BC1B32">
            <w:pPr>
              <w:pStyle w:val="TableBlock"/>
              <w:rPr>
                <w:rtl/>
              </w:rPr>
            </w:pPr>
            <w:r>
              <w:rPr>
                <w:rFonts w:hint="cs"/>
                <w:rtl/>
              </w:rPr>
              <w:t>בתקנה 17</w:t>
            </w:r>
            <w:r w:rsidR="004A4B7F">
              <w:rPr>
                <w:rFonts w:hint="cs"/>
                <w:rtl/>
              </w:rPr>
              <w:t>(א)</w:t>
            </w:r>
            <w:r>
              <w:rPr>
                <w:rFonts w:hint="cs"/>
                <w:rtl/>
              </w:rPr>
              <w:t xml:space="preserve"> לתקנות העיקריות, המילים</w:t>
            </w:r>
            <w:r w:rsidRPr="00100BAB">
              <w:rPr>
                <w:rFonts w:hint="cs"/>
                <w:rtl/>
              </w:rPr>
              <w:t xml:space="preserve"> "</w:t>
            </w:r>
            <w:r w:rsidRPr="00100BAB">
              <w:rPr>
                <w:rtl/>
              </w:rPr>
              <w:t>במספר עותקים מספיק בשביל בית הדין ולשם המצאה לכל אחד מבעלי הד</w:t>
            </w:r>
            <w:r w:rsidRPr="00100BAB">
              <w:rPr>
                <w:rFonts w:hint="cs"/>
                <w:rtl/>
              </w:rPr>
              <w:t xml:space="preserve">ין" </w:t>
            </w:r>
            <w:r w:rsidRPr="00100BAB">
              <w:rPr>
                <w:rtl/>
              </w:rPr>
              <w:t>–</w:t>
            </w:r>
            <w:r w:rsidRPr="00100BAB">
              <w:rPr>
                <w:rFonts w:hint="cs"/>
                <w:rtl/>
              </w:rPr>
              <w:t xml:space="preserve"> יימחקו.</w:t>
            </w:r>
          </w:p>
        </w:tc>
      </w:tr>
      <w:tr w:rsidR="00D96F40" w14:paraId="20895787" w14:textId="77777777" w:rsidTr="00B321E8">
        <w:trPr>
          <w:cantSplit/>
          <w:trHeight w:val="60"/>
        </w:trPr>
        <w:tc>
          <w:tcPr>
            <w:tcW w:w="1871" w:type="dxa"/>
          </w:tcPr>
          <w:p w14:paraId="2B9374D0" w14:textId="77777777" w:rsidR="006C0794" w:rsidRDefault="001D6D0F">
            <w:pPr>
              <w:pStyle w:val="TableSideHeading"/>
              <w:rPr>
                <w:rtl/>
              </w:rPr>
            </w:pPr>
            <w:r>
              <w:rPr>
                <w:rFonts w:hint="cs"/>
                <w:rtl/>
              </w:rPr>
              <w:t xml:space="preserve">ביטול תקנה 19 </w:t>
            </w:r>
          </w:p>
        </w:tc>
        <w:tc>
          <w:tcPr>
            <w:tcW w:w="624" w:type="dxa"/>
          </w:tcPr>
          <w:p w14:paraId="52F508A8" w14:textId="77777777" w:rsidR="006C0794" w:rsidRDefault="006C0794" w:rsidP="009A6B0E">
            <w:pPr>
              <w:pStyle w:val="TableText"/>
              <w:numPr>
                <w:ilvl w:val="0"/>
                <w:numId w:val="2"/>
              </w:numPr>
            </w:pPr>
          </w:p>
        </w:tc>
        <w:tc>
          <w:tcPr>
            <w:tcW w:w="7146" w:type="dxa"/>
          </w:tcPr>
          <w:p w14:paraId="1D59FE9C" w14:textId="77777777" w:rsidR="006C0794" w:rsidRDefault="001D6D0F" w:rsidP="00D76895">
            <w:pPr>
              <w:pStyle w:val="TableBlock"/>
              <w:rPr>
                <w:rtl/>
              </w:rPr>
            </w:pPr>
            <w:r>
              <w:rPr>
                <w:rFonts w:hint="cs"/>
                <w:rtl/>
              </w:rPr>
              <w:t xml:space="preserve">תקנה 19 לתקנות העיקריות </w:t>
            </w:r>
            <w:r>
              <w:rPr>
                <w:rtl/>
              </w:rPr>
              <w:t>–</w:t>
            </w:r>
            <w:r>
              <w:rPr>
                <w:rFonts w:hint="cs"/>
                <w:rtl/>
              </w:rPr>
              <w:t xml:space="preserve"> בטלה. </w:t>
            </w:r>
          </w:p>
        </w:tc>
      </w:tr>
      <w:tr w:rsidR="00D96F40" w14:paraId="737EBFCE" w14:textId="77777777" w:rsidTr="00B321E8">
        <w:trPr>
          <w:cantSplit/>
          <w:trHeight w:val="60"/>
        </w:trPr>
        <w:tc>
          <w:tcPr>
            <w:tcW w:w="1871" w:type="dxa"/>
          </w:tcPr>
          <w:p w14:paraId="4FEF9A01" w14:textId="77777777" w:rsidR="006C0794" w:rsidRDefault="001D6D0F">
            <w:pPr>
              <w:pStyle w:val="TableSideHeading"/>
              <w:rPr>
                <w:rtl/>
              </w:rPr>
            </w:pPr>
            <w:r>
              <w:rPr>
                <w:rFonts w:hint="cs"/>
                <w:rtl/>
              </w:rPr>
              <w:t>תיקון תקנה 24</w:t>
            </w:r>
          </w:p>
        </w:tc>
        <w:tc>
          <w:tcPr>
            <w:tcW w:w="624" w:type="dxa"/>
          </w:tcPr>
          <w:p w14:paraId="35F3E88A" w14:textId="77777777" w:rsidR="006C0794" w:rsidRDefault="006C0794" w:rsidP="009A6B0E">
            <w:pPr>
              <w:pStyle w:val="TableText"/>
              <w:numPr>
                <w:ilvl w:val="0"/>
                <w:numId w:val="2"/>
              </w:numPr>
            </w:pPr>
          </w:p>
        </w:tc>
        <w:tc>
          <w:tcPr>
            <w:tcW w:w="7146" w:type="dxa"/>
          </w:tcPr>
          <w:p w14:paraId="692CB73E" w14:textId="64D8C0E4" w:rsidR="006C0794" w:rsidRPr="006C0794" w:rsidRDefault="001D6D0F" w:rsidP="00492D6F">
            <w:pPr>
              <w:pStyle w:val="TableBlock"/>
              <w:rPr>
                <w:rtl/>
              </w:rPr>
            </w:pPr>
            <w:r>
              <w:rPr>
                <w:rFonts w:hint="cs"/>
                <w:rtl/>
              </w:rPr>
              <w:t xml:space="preserve">בתקנה 24(א) לתקנות העיקריות, </w:t>
            </w:r>
            <w:r w:rsidR="00492D6F">
              <w:rPr>
                <w:rFonts w:hint="cs"/>
                <w:rtl/>
              </w:rPr>
              <w:t>המילים</w:t>
            </w:r>
            <w:r>
              <w:rPr>
                <w:rFonts w:hint="cs"/>
                <w:rtl/>
              </w:rPr>
              <w:t xml:space="preserve"> "</w:t>
            </w:r>
            <w:r w:rsidRPr="006C0794">
              <w:rPr>
                <w:rtl/>
              </w:rPr>
              <w:t>בדואר רשום</w:t>
            </w:r>
            <w:r w:rsidR="000C1E0C">
              <w:rPr>
                <w:rFonts w:hint="cs"/>
                <w:rtl/>
              </w:rPr>
              <w:t xml:space="preserve">" </w:t>
            </w:r>
            <w:r w:rsidR="000C1E0C">
              <w:rPr>
                <w:rtl/>
              </w:rPr>
              <w:t>–</w:t>
            </w:r>
            <w:r w:rsidRPr="006C0794">
              <w:rPr>
                <w:rtl/>
              </w:rPr>
              <w:t xml:space="preserve"> </w:t>
            </w:r>
            <w:r w:rsidR="000C1E0C">
              <w:rPr>
                <w:rFonts w:hint="cs"/>
                <w:rtl/>
              </w:rPr>
              <w:t>י</w:t>
            </w:r>
            <w:r w:rsidR="00492D6F">
              <w:rPr>
                <w:rFonts w:hint="cs"/>
                <w:rtl/>
              </w:rPr>
              <w:t>ימחקו.</w:t>
            </w:r>
            <w:r w:rsidR="0044312A">
              <w:rPr>
                <w:rFonts w:hint="cs"/>
                <w:rtl/>
              </w:rPr>
              <w:t xml:space="preserve"> </w:t>
            </w:r>
            <w:r w:rsidRPr="006C0794">
              <w:rPr>
                <w:rFonts w:hint="cs"/>
                <w:rtl/>
              </w:rPr>
              <w:t xml:space="preserve"> </w:t>
            </w:r>
          </w:p>
        </w:tc>
      </w:tr>
      <w:tr w:rsidR="00D96F40" w14:paraId="5345854A" w14:textId="77777777" w:rsidTr="00B321E8">
        <w:trPr>
          <w:cantSplit/>
          <w:trHeight w:val="60"/>
        </w:trPr>
        <w:tc>
          <w:tcPr>
            <w:tcW w:w="1871" w:type="dxa"/>
          </w:tcPr>
          <w:p w14:paraId="60912C75" w14:textId="77777777" w:rsidR="009A6B0E" w:rsidRDefault="001D6D0F">
            <w:pPr>
              <w:pStyle w:val="TableSideHeading"/>
            </w:pPr>
            <w:r>
              <w:rPr>
                <w:rFonts w:hint="cs"/>
                <w:rtl/>
              </w:rPr>
              <w:t>תיקון תקנה 31</w:t>
            </w:r>
          </w:p>
        </w:tc>
        <w:tc>
          <w:tcPr>
            <w:tcW w:w="624" w:type="dxa"/>
          </w:tcPr>
          <w:p w14:paraId="3C6370A0" w14:textId="77777777" w:rsidR="009A6B0E" w:rsidRDefault="009A6B0E" w:rsidP="009A6B0E">
            <w:pPr>
              <w:pStyle w:val="TableText"/>
              <w:numPr>
                <w:ilvl w:val="0"/>
                <w:numId w:val="2"/>
              </w:numPr>
            </w:pPr>
          </w:p>
        </w:tc>
        <w:tc>
          <w:tcPr>
            <w:tcW w:w="7146" w:type="dxa"/>
          </w:tcPr>
          <w:p w14:paraId="4DE48816" w14:textId="77777777" w:rsidR="009A6B0E" w:rsidRPr="00B321E8" w:rsidRDefault="001D6D0F" w:rsidP="00D76895">
            <w:pPr>
              <w:pStyle w:val="TableBlock"/>
            </w:pPr>
            <w:r>
              <w:rPr>
                <w:rFonts w:hint="cs"/>
                <w:rtl/>
              </w:rPr>
              <w:t>בתקנה</w:t>
            </w:r>
            <w:r w:rsidR="00D76895">
              <w:rPr>
                <w:rFonts w:hint="cs"/>
                <w:rtl/>
              </w:rPr>
              <w:t xml:space="preserve"> 31 לתקנות העיקריות</w:t>
            </w:r>
            <w:r>
              <w:rPr>
                <w:rFonts w:hint="cs"/>
                <w:rtl/>
              </w:rPr>
              <w:t>,</w:t>
            </w:r>
            <w:r w:rsidR="00A208C5">
              <w:rPr>
                <w:rFonts w:hint="cs"/>
                <w:rtl/>
              </w:rPr>
              <w:t xml:space="preserve"> </w:t>
            </w:r>
            <w:r w:rsidR="00A102A7">
              <w:rPr>
                <w:rFonts w:hint="cs"/>
                <w:rtl/>
              </w:rPr>
              <w:t>במקום "</w:t>
            </w:r>
            <w:r w:rsidR="00A90C93">
              <w:rPr>
                <w:rFonts w:hint="cs"/>
                <w:rtl/>
              </w:rPr>
              <w:t xml:space="preserve">פרק </w:t>
            </w:r>
            <w:r w:rsidR="00A102A7">
              <w:rPr>
                <w:rFonts w:hint="cs"/>
                <w:rtl/>
              </w:rPr>
              <w:t>ל"ב" יבוא "</w:t>
            </w:r>
            <w:r w:rsidR="00A90C93">
              <w:rPr>
                <w:rFonts w:hint="cs"/>
                <w:rtl/>
              </w:rPr>
              <w:t xml:space="preserve">פרק </w:t>
            </w:r>
            <w:r w:rsidR="00A102A7">
              <w:rPr>
                <w:rFonts w:hint="cs"/>
                <w:rtl/>
              </w:rPr>
              <w:t>י"ט</w:t>
            </w:r>
            <w:r w:rsidR="00CD585A">
              <w:rPr>
                <w:rFonts w:hint="cs"/>
                <w:rtl/>
              </w:rPr>
              <w:t xml:space="preserve"> לחלק ב'</w:t>
            </w:r>
            <w:r w:rsidR="00A102A7">
              <w:rPr>
                <w:rFonts w:hint="cs"/>
                <w:rtl/>
              </w:rPr>
              <w:t xml:space="preserve">". </w:t>
            </w:r>
          </w:p>
        </w:tc>
      </w:tr>
      <w:tr w:rsidR="00D96F40" w14:paraId="41ADE4AD" w14:textId="77777777">
        <w:trPr>
          <w:cantSplit/>
          <w:trHeight w:val="60"/>
        </w:trPr>
        <w:tc>
          <w:tcPr>
            <w:tcW w:w="1871" w:type="dxa"/>
          </w:tcPr>
          <w:p w14:paraId="2D1744CC" w14:textId="77777777" w:rsidR="007F2562" w:rsidRDefault="001D6D0F" w:rsidP="007E751D">
            <w:pPr>
              <w:pStyle w:val="TableSideHeading"/>
              <w:keepLines w:val="0"/>
            </w:pPr>
            <w:r>
              <w:rPr>
                <w:rFonts w:hint="cs"/>
                <w:rtl/>
              </w:rPr>
              <w:t>תיקון תקנה 32</w:t>
            </w:r>
          </w:p>
        </w:tc>
        <w:tc>
          <w:tcPr>
            <w:tcW w:w="624" w:type="dxa"/>
          </w:tcPr>
          <w:p w14:paraId="70B70293" w14:textId="77777777" w:rsidR="007F2562" w:rsidRDefault="007F2562" w:rsidP="007F2562">
            <w:pPr>
              <w:pStyle w:val="TableText"/>
              <w:keepLines w:val="0"/>
              <w:numPr>
                <w:ilvl w:val="0"/>
                <w:numId w:val="4"/>
              </w:numPr>
            </w:pPr>
          </w:p>
        </w:tc>
        <w:tc>
          <w:tcPr>
            <w:tcW w:w="7146" w:type="dxa"/>
          </w:tcPr>
          <w:p w14:paraId="37EAB1A5" w14:textId="77777777" w:rsidR="007F2562" w:rsidRPr="00C34DE2" w:rsidRDefault="001D6D0F" w:rsidP="00501250">
            <w:pPr>
              <w:pStyle w:val="TableBlock"/>
              <w:keepLines w:val="0"/>
            </w:pPr>
            <w:r>
              <w:rPr>
                <w:rFonts w:hint="cs"/>
                <w:rtl/>
              </w:rPr>
              <w:t xml:space="preserve">בתקנה 32 לתקנות העיקריות, </w:t>
            </w:r>
            <w:r w:rsidR="00A90C93">
              <w:rPr>
                <w:rFonts w:hint="cs"/>
                <w:rtl/>
              </w:rPr>
              <w:t xml:space="preserve">תקנת משנה (ג) </w:t>
            </w:r>
            <w:r w:rsidR="00A90C93">
              <w:rPr>
                <w:rtl/>
              </w:rPr>
              <w:t>–</w:t>
            </w:r>
            <w:r w:rsidR="00A90C93">
              <w:rPr>
                <w:rFonts w:hint="cs"/>
                <w:rtl/>
              </w:rPr>
              <w:t xml:space="preserve"> </w:t>
            </w:r>
            <w:r w:rsidR="00501250">
              <w:rPr>
                <w:rFonts w:hint="cs"/>
                <w:rtl/>
              </w:rPr>
              <w:t>בטלה</w:t>
            </w:r>
            <w:r w:rsidR="00A90C93">
              <w:rPr>
                <w:rFonts w:hint="cs"/>
                <w:rtl/>
              </w:rPr>
              <w:t xml:space="preserve">. </w:t>
            </w:r>
          </w:p>
        </w:tc>
      </w:tr>
      <w:tr w:rsidR="00D96F40" w14:paraId="4A65092B" w14:textId="77777777">
        <w:trPr>
          <w:cantSplit/>
          <w:trHeight w:val="60"/>
        </w:trPr>
        <w:tc>
          <w:tcPr>
            <w:tcW w:w="1871" w:type="dxa"/>
          </w:tcPr>
          <w:p w14:paraId="472AA39A" w14:textId="77777777" w:rsidR="00A90C93" w:rsidRDefault="001D6D0F" w:rsidP="007E751D">
            <w:pPr>
              <w:pStyle w:val="TableSideHeading"/>
              <w:keepLines w:val="0"/>
              <w:rPr>
                <w:rtl/>
              </w:rPr>
            </w:pPr>
            <w:r>
              <w:rPr>
                <w:rFonts w:hint="cs"/>
                <w:rtl/>
              </w:rPr>
              <w:t>תיקון תקנה 37</w:t>
            </w:r>
          </w:p>
        </w:tc>
        <w:tc>
          <w:tcPr>
            <w:tcW w:w="624" w:type="dxa"/>
          </w:tcPr>
          <w:p w14:paraId="49D33438" w14:textId="77777777" w:rsidR="00A90C93" w:rsidRDefault="00A90C93" w:rsidP="00A90C93">
            <w:pPr>
              <w:pStyle w:val="TableText"/>
              <w:keepLines w:val="0"/>
              <w:numPr>
                <w:ilvl w:val="0"/>
                <w:numId w:val="4"/>
              </w:numPr>
            </w:pPr>
          </w:p>
        </w:tc>
        <w:tc>
          <w:tcPr>
            <w:tcW w:w="7146" w:type="dxa"/>
          </w:tcPr>
          <w:p w14:paraId="46872A0D" w14:textId="77777777" w:rsidR="00A90C93" w:rsidRPr="00C34DE2" w:rsidRDefault="001D6D0F" w:rsidP="007C1D89">
            <w:pPr>
              <w:pStyle w:val="TableBlock"/>
              <w:keepLines w:val="0"/>
              <w:rPr>
                <w:rtl/>
              </w:rPr>
            </w:pPr>
            <w:r>
              <w:rPr>
                <w:rFonts w:hint="cs"/>
                <w:rtl/>
              </w:rPr>
              <w:t>בתקנה 37 לתקנות העיקריות</w:t>
            </w:r>
            <w:r w:rsidR="00A016CD">
              <w:rPr>
                <w:rFonts w:hint="cs"/>
                <w:rtl/>
              </w:rPr>
              <w:t>, במקום "פרק ל</w:t>
            </w:r>
            <w:r w:rsidR="00CD585A">
              <w:rPr>
                <w:rFonts w:hint="cs"/>
                <w:rtl/>
              </w:rPr>
              <w:t>'</w:t>
            </w:r>
            <w:r w:rsidR="007C1D89">
              <w:rPr>
                <w:rFonts w:hint="cs"/>
                <w:rtl/>
              </w:rPr>
              <w:t xml:space="preserve"> לתקנות סדר הדין למעט סימנים א', ב'</w:t>
            </w:r>
            <w:r w:rsidR="00A016CD">
              <w:rPr>
                <w:rFonts w:hint="cs"/>
                <w:rtl/>
              </w:rPr>
              <w:t>'" יבוא "פרק י"ז</w:t>
            </w:r>
            <w:r w:rsidR="00CD585A">
              <w:rPr>
                <w:rFonts w:hint="cs"/>
                <w:rtl/>
              </w:rPr>
              <w:t xml:space="preserve"> לחלק ב'</w:t>
            </w:r>
            <w:r w:rsidR="0076427B">
              <w:rPr>
                <w:rFonts w:hint="cs"/>
                <w:rtl/>
              </w:rPr>
              <w:t xml:space="preserve">, ואולם לעניין הגשת תשובה לערעור יקראו את </w:t>
            </w:r>
            <w:r w:rsidR="00C225A3">
              <w:rPr>
                <w:rFonts w:hint="cs"/>
                <w:rtl/>
              </w:rPr>
              <w:t>תקנה</w:t>
            </w:r>
            <w:r w:rsidR="0076427B">
              <w:rPr>
                <w:rFonts w:hint="cs"/>
                <w:rtl/>
              </w:rPr>
              <w:t xml:space="preserve"> 140(א)(1) </w:t>
            </w:r>
            <w:r w:rsidR="00554426">
              <w:rPr>
                <w:rFonts w:hint="cs"/>
                <w:rtl/>
              </w:rPr>
              <w:t xml:space="preserve">לפרק האמור </w:t>
            </w:r>
            <w:r w:rsidR="00C225A3">
              <w:rPr>
                <w:rFonts w:hint="cs"/>
                <w:rtl/>
              </w:rPr>
              <w:t>כאילו במקום</w:t>
            </w:r>
            <w:r w:rsidR="0076427B">
              <w:rPr>
                <w:rFonts w:hint="cs"/>
                <w:rtl/>
              </w:rPr>
              <w:t xml:space="preserve"> </w:t>
            </w:r>
            <w:r w:rsidR="00C225A3">
              <w:rPr>
                <w:rFonts w:hint="cs"/>
                <w:rtl/>
              </w:rPr>
              <w:t>"</w:t>
            </w:r>
            <w:r w:rsidR="0076427B">
              <w:rPr>
                <w:rFonts w:hint="cs"/>
                <w:rtl/>
              </w:rPr>
              <w:t xml:space="preserve">שישים ימים" </w:t>
            </w:r>
            <w:r w:rsidR="00C225A3">
              <w:rPr>
                <w:rFonts w:hint="cs"/>
                <w:rtl/>
              </w:rPr>
              <w:t>נאמר בה</w:t>
            </w:r>
            <w:r w:rsidR="0076427B">
              <w:rPr>
                <w:rFonts w:hint="cs"/>
                <w:rtl/>
              </w:rPr>
              <w:t xml:space="preserve"> "ארבעים וחמישה ימים"</w:t>
            </w:r>
            <w:r w:rsidR="00A016CD">
              <w:rPr>
                <w:rFonts w:hint="cs"/>
                <w:rtl/>
              </w:rPr>
              <w:t xml:space="preserve">. </w:t>
            </w:r>
          </w:p>
        </w:tc>
      </w:tr>
    </w:tbl>
    <w:p w14:paraId="211D854C" w14:textId="77777777" w:rsidR="009A6B0E" w:rsidRPr="00E52199" w:rsidRDefault="009A6B0E" w:rsidP="00722C14"/>
    <w:p w14:paraId="048F83D0" w14:textId="77777777" w:rsidR="009A6B0E" w:rsidRDefault="009A6B0E" w:rsidP="00722C14">
      <w:pPr>
        <w:rPr>
          <w:rtl/>
        </w:rPr>
      </w:pPr>
    </w:p>
    <w:p w14:paraId="10C075D1" w14:textId="77777777" w:rsidR="009A6B0E" w:rsidRDefault="001D6D0F" w:rsidP="00722C14">
      <w:pPr>
        <w:rPr>
          <w:rFonts w:eastAsia="Calibri"/>
          <w:rtl/>
        </w:rPr>
      </w:pPr>
      <w:r>
        <w:rPr>
          <w:rFonts w:eastAsia="Calibri" w:hint="cs"/>
          <w:rtl/>
        </w:rPr>
        <w:t>___ ב________ התש_______ (___ ב________ ____20)</w:t>
      </w:r>
    </w:p>
    <w:p w14:paraId="42748FB1" w14:textId="77777777" w:rsidR="009A6B0E" w:rsidRDefault="001D6D0F" w:rsidP="00722C14">
      <w:pPr>
        <w:rPr>
          <w:rFonts w:eastAsia="Calibri"/>
          <w:rtl/>
        </w:rPr>
      </w:pPr>
      <w:r>
        <w:rPr>
          <w:rFonts w:eastAsia="Calibri" w:hint="cs"/>
          <w:rtl/>
        </w:rPr>
        <w:t>[תאריך עברי] ([תאריך לועזי])</w:t>
      </w:r>
    </w:p>
    <w:p w14:paraId="0CB95F0F" w14:textId="77777777" w:rsidR="009A6B0E" w:rsidRDefault="001D6D0F" w:rsidP="00775818">
      <w:pPr>
        <w:rPr>
          <w:rtl/>
        </w:rPr>
      </w:pPr>
      <w:r>
        <w:rPr>
          <w:rFonts w:hint="cs"/>
          <w:rtl/>
        </w:rPr>
        <w:t>(</w:t>
      </w:r>
      <w:proofErr w:type="spellStart"/>
      <w:r>
        <w:rPr>
          <w:rFonts w:hint="cs"/>
          <w:rtl/>
        </w:rPr>
        <w:t>חמ</w:t>
      </w:r>
      <w:proofErr w:type="spellEnd"/>
      <w:r>
        <w:rPr>
          <w:rFonts w:hint="cs"/>
          <w:rtl/>
        </w:rPr>
        <w:t xml:space="preserve"> __</w:t>
      </w:r>
      <w:r w:rsidR="00775818">
        <w:rPr>
          <w:rFonts w:hint="cs"/>
          <w:rtl/>
        </w:rPr>
        <w:t>3-2124)</w:t>
      </w:r>
    </w:p>
    <w:p w14:paraId="3E806930" w14:textId="77777777" w:rsidR="009A6B0E" w:rsidRDefault="009A6B0E" w:rsidP="00722C14">
      <w:pPr>
        <w:rPr>
          <w:rtl/>
        </w:rPr>
      </w:pPr>
    </w:p>
    <w:p w14:paraId="5F502CC1" w14:textId="77777777" w:rsidR="009A6B0E" w:rsidRDefault="001D6D0F" w:rsidP="00B97D7E">
      <w:pPr>
        <w:ind w:left="5760"/>
        <w:jc w:val="center"/>
        <w:rPr>
          <w:rtl/>
        </w:rPr>
      </w:pPr>
      <w:r>
        <w:rPr>
          <w:rFonts w:hint="cs"/>
          <w:rtl/>
        </w:rPr>
        <w:t>__________________</w:t>
      </w:r>
    </w:p>
    <w:p w14:paraId="21D1CB8C" w14:textId="6A6CDD64" w:rsidR="009A6B0E" w:rsidRDefault="001D6D0F" w:rsidP="00722C14">
      <w:pPr>
        <w:ind w:left="5760"/>
        <w:jc w:val="center"/>
        <w:rPr>
          <w:rtl/>
        </w:rPr>
      </w:pPr>
      <w:r>
        <w:rPr>
          <w:rFonts w:hint="cs"/>
          <w:rtl/>
        </w:rPr>
        <w:t>בני גנץ</w:t>
      </w:r>
    </w:p>
    <w:p w14:paraId="087A6EC3" w14:textId="77777777" w:rsidR="009A6B0E" w:rsidRDefault="001D6D0F" w:rsidP="00B97D7E">
      <w:pPr>
        <w:ind w:left="5760"/>
        <w:jc w:val="center"/>
        <w:rPr>
          <w:rtl/>
        </w:rPr>
      </w:pPr>
      <w:r>
        <w:rPr>
          <w:rFonts w:hint="cs"/>
          <w:rtl/>
        </w:rPr>
        <w:t>שר המשפטים</w:t>
      </w:r>
    </w:p>
    <w:p w14:paraId="5BF7EB75" w14:textId="77777777" w:rsidR="009A6B0E" w:rsidRDefault="009A6B0E" w:rsidP="00722C14">
      <w:pPr>
        <w:rPr>
          <w:rtl/>
        </w:rPr>
      </w:pPr>
    </w:p>
    <w:p w14:paraId="5110BF52" w14:textId="77777777" w:rsidR="005921D3" w:rsidRDefault="005921D3" w:rsidP="00722C14">
      <w:pPr>
        <w:rPr>
          <w:rtl/>
        </w:rPr>
      </w:pPr>
    </w:p>
    <w:p w14:paraId="0A888223" w14:textId="77777777" w:rsidR="005921D3" w:rsidRDefault="005921D3" w:rsidP="00722C14">
      <w:pPr>
        <w:rPr>
          <w:rtl/>
        </w:rPr>
      </w:pPr>
    </w:p>
    <w:p w14:paraId="31F527EC" w14:textId="77777777" w:rsidR="005921D3" w:rsidRDefault="005921D3" w:rsidP="00722C14">
      <w:pPr>
        <w:rPr>
          <w:rtl/>
        </w:rPr>
      </w:pPr>
    </w:p>
    <w:p w14:paraId="25094CD9" w14:textId="77777777" w:rsidR="005921D3" w:rsidRDefault="005921D3" w:rsidP="00722C14">
      <w:pPr>
        <w:rPr>
          <w:rtl/>
        </w:rPr>
      </w:pPr>
    </w:p>
    <w:p w14:paraId="70D5D893" w14:textId="77777777" w:rsidR="005921D3" w:rsidRDefault="005921D3" w:rsidP="00722C14">
      <w:pPr>
        <w:rPr>
          <w:rtl/>
        </w:rPr>
      </w:pPr>
    </w:p>
    <w:p w14:paraId="56E28500" w14:textId="77777777" w:rsidR="00E52199" w:rsidRDefault="001D6D0F">
      <w:pPr>
        <w:widowControl/>
        <w:bidi w:val="0"/>
        <w:spacing w:after="160" w:line="259" w:lineRule="auto"/>
        <w:ind w:left="0"/>
        <w:contextualSpacing w:val="0"/>
        <w:jc w:val="left"/>
        <w:rPr>
          <w:rFonts w:ascii="Arial" w:eastAsia="Arial Unicode MS" w:hAnsi="Arial"/>
          <w:b/>
          <w:snapToGrid w:val="0"/>
          <w:spacing w:val="40"/>
          <w:sz w:val="20"/>
          <w:szCs w:val="26"/>
        </w:rPr>
      </w:pPr>
      <w:r>
        <w:rPr>
          <w:rtl/>
        </w:rPr>
        <w:br w:type="page"/>
      </w:r>
    </w:p>
    <w:p w14:paraId="4B1525BE" w14:textId="77777777" w:rsidR="009A6B0E" w:rsidRDefault="001D6D0F" w:rsidP="00722C14">
      <w:pPr>
        <w:pStyle w:val="HeadDivreiHesber"/>
        <w:rPr>
          <w:rtl/>
        </w:rPr>
      </w:pPr>
      <w:r>
        <w:rPr>
          <w:rtl/>
        </w:rPr>
        <w:t>דברי הסבר</w:t>
      </w:r>
    </w:p>
    <w:p w14:paraId="0555D493" w14:textId="77777777" w:rsidR="00C11E73" w:rsidRDefault="001D6D0F" w:rsidP="00E52199">
      <w:pPr>
        <w:pStyle w:val="Hesber1st"/>
        <w:tabs>
          <w:tab w:val="clear" w:pos="680"/>
        </w:tabs>
        <w:rPr>
          <w:rtl/>
        </w:rPr>
      </w:pPr>
      <w:r>
        <w:rPr>
          <w:rFonts w:hint="cs"/>
          <w:rtl/>
        </w:rPr>
        <w:t>מטרת התיקון היא להתאים את</w:t>
      </w:r>
      <w:r w:rsidR="002E7A7F">
        <w:rPr>
          <w:rFonts w:hint="cs"/>
          <w:rtl/>
        </w:rPr>
        <w:t xml:space="preserve"> הוראות</w:t>
      </w:r>
      <w:r>
        <w:rPr>
          <w:rFonts w:hint="cs"/>
          <w:rtl/>
        </w:rPr>
        <w:t xml:space="preserve"> תקנות ההגבלים העסקיים (סדרי דין בבית הדין ובערעור), </w:t>
      </w:r>
      <w:r w:rsidR="00AA5902">
        <w:rPr>
          <w:rFonts w:hint="cs"/>
          <w:rtl/>
        </w:rPr>
        <w:t>ה</w:t>
      </w:r>
      <w:r>
        <w:rPr>
          <w:rFonts w:hint="cs"/>
          <w:rtl/>
        </w:rPr>
        <w:t>תשמ"ט-1988 לרפורמה בתקנות סדר הדין האזרחי (</w:t>
      </w:r>
      <w:r w:rsidR="00AA5902">
        <w:rPr>
          <w:rFonts w:hint="cs"/>
          <w:rtl/>
        </w:rPr>
        <w:t>תקנות סדר הדין האזרחי, התשע"ט</w:t>
      </w:r>
      <w:r w:rsidR="00AA5902">
        <w:rPr>
          <w:rtl/>
        </w:rPr>
        <w:noBreakHyphen/>
      </w:r>
      <w:r w:rsidR="00AA5902">
        <w:rPr>
          <w:rFonts w:hint="cs"/>
          <w:rtl/>
        </w:rPr>
        <w:t xml:space="preserve">2018, </w:t>
      </w:r>
      <w:r>
        <w:rPr>
          <w:rFonts w:hint="cs"/>
          <w:rtl/>
        </w:rPr>
        <w:t xml:space="preserve">פורסמו </w:t>
      </w:r>
      <w:proofErr w:type="spellStart"/>
      <w:r>
        <w:rPr>
          <w:rFonts w:hint="cs"/>
          <w:rtl/>
        </w:rPr>
        <w:t>ק"ת</w:t>
      </w:r>
      <w:proofErr w:type="spellEnd"/>
      <w:r>
        <w:rPr>
          <w:rFonts w:hint="cs"/>
          <w:rtl/>
        </w:rPr>
        <w:t xml:space="preserve"> תשע"ט מס'</w:t>
      </w:r>
      <w:r w:rsidR="005A7E1B">
        <w:rPr>
          <w:rFonts w:hint="cs"/>
          <w:rtl/>
        </w:rPr>
        <w:t xml:space="preserve"> 8085 מ</w:t>
      </w:r>
      <w:r w:rsidR="003F5070">
        <w:rPr>
          <w:rFonts w:hint="cs"/>
          <w:rtl/>
        </w:rPr>
        <w:t>יום 11.10.2018, עמ' 422)</w:t>
      </w:r>
      <w:r w:rsidR="004B5CA1">
        <w:rPr>
          <w:rFonts w:hint="cs"/>
          <w:rtl/>
        </w:rPr>
        <w:t xml:space="preserve"> </w:t>
      </w:r>
      <w:r w:rsidR="00E52199">
        <w:rPr>
          <w:rFonts w:hint="cs"/>
          <w:rtl/>
        </w:rPr>
        <w:t xml:space="preserve">שנכנסה לתוקף ביום 1.1.2021 </w:t>
      </w:r>
      <w:r w:rsidR="004B5CA1">
        <w:rPr>
          <w:rFonts w:hint="cs"/>
          <w:rtl/>
        </w:rPr>
        <w:t xml:space="preserve">(להלן: </w:t>
      </w:r>
      <w:proofErr w:type="spellStart"/>
      <w:r w:rsidR="004B5CA1">
        <w:rPr>
          <w:rFonts w:hint="cs"/>
          <w:rtl/>
        </w:rPr>
        <w:t>תקסד"א</w:t>
      </w:r>
      <w:proofErr w:type="spellEnd"/>
      <w:r w:rsidR="004B5CA1">
        <w:rPr>
          <w:rFonts w:hint="cs"/>
          <w:rtl/>
        </w:rPr>
        <w:t xml:space="preserve"> 2018)</w:t>
      </w:r>
      <w:r w:rsidR="003F5070">
        <w:rPr>
          <w:rFonts w:hint="cs"/>
          <w:rtl/>
        </w:rPr>
        <w:t xml:space="preserve">. </w:t>
      </w:r>
    </w:p>
    <w:p w14:paraId="48C8CA1E" w14:textId="77777777" w:rsidR="00AA5902" w:rsidRDefault="001D6D0F" w:rsidP="00101DD4">
      <w:pPr>
        <w:pStyle w:val="Hesber1st"/>
        <w:tabs>
          <w:tab w:val="clear" w:pos="680"/>
        </w:tabs>
        <w:rPr>
          <w:rtl/>
        </w:rPr>
      </w:pPr>
      <w:r>
        <w:rPr>
          <w:rFonts w:hint="cs"/>
          <w:rtl/>
        </w:rPr>
        <w:t>כמו כן,</w:t>
      </w:r>
      <w:r w:rsidR="00245745">
        <w:rPr>
          <w:rFonts w:hint="cs"/>
          <w:rtl/>
        </w:rPr>
        <w:t xml:space="preserve"> </w:t>
      </w:r>
      <w:r w:rsidR="00C11E73">
        <w:rPr>
          <w:rFonts w:hint="cs"/>
          <w:rtl/>
        </w:rPr>
        <w:t xml:space="preserve">מוצע לשנות את שם התקנות </w:t>
      </w:r>
      <w:r w:rsidR="00101DD4">
        <w:rPr>
          <w:rFonts w:hint="cs"/>
          <w:rtl/>
        </w:rPr>
        <w:t>בהתאם</w:t>
      </w:r>
      <w:r w:rsidR="00C11E73">
        <w:rPr>
          <w:rFonts w:hint="cs"/>
          <w:rtl/>
        </w:rPr>
        <w:t xml:space="preserve"> לתיקון מס' 21 לחוק התחרות הכלכלית, התשמ"ח-1988</w:t>
      </w:r>
      <w:r w:rsidR="00245745">
        <w:rPr>
          <w:rFonts w:hint="cs"/>
          <w:rtl/>
        </w:rPr>
        <w:t xml:space="preserve"> (להלן</w:t>
      </w:r>
      <w:r>
        <w:rPr>
          <w:rFonts w:hint="cs"/>
          <w:rtl/>
        </w:rPr>
        <w:t>:</w:t>
      </w:r>
      <w:r w:rsidR="00245745">
        <w:rPr>
          <w:rFonts w:hint="cs"/>
          <w:rtl/>
        </w:rPr>
        <w:t xml:space="preserve"> </w:t>
      </w:r>
      <w:r w:rsidR="00245745" w:rsidRPr="00AC252C">
        <w:rPr>
          <w:rFonts w:hint="cs"/>
          <w:rtl/>
        </w:rPr>
        <w:t>חוק התחרות</w:t>
      </w:r>
      <w:r w:rsidR="00245745">
        <w:rPr>
          <w:rFonts w:hint="cs"/>
          <w:rtl/>
        </w:rPr>
        <w:t>)</w:t>
      </w:r>
      <w:r w:rsidR="00C11E73">
        <w:rPr>
          <w:rFonts w:hint="cs"/>
          <w:rtl/>
        </w:rPr>
        <w:t xml:space="preserve">, </w:t>
      </w:r>
      <w:r>
        <w:rPr>
          <w:rFonts w:hint="cs"/>
          <w:rtl/>
        </w:rPr>
        <w:t>ש</w:t>
      </w:r>
      <w:r w:rsidR="00C11E73">
        <w:rPr>
          <w:rFonts w:hint="cs"/>
          <w:rtl/>
        </w:rPr>
        <w:t xml:space="preserve">במסגרתו שונה, בין היתר, שם החוק מ"חוק ההגבלים העסקיים" ל"חוק התחרות הכלכלית". </w:t>
      </w:r>
    </w:p>
    <w:p w14:paraId="59FEBC03" w14:textId="77777777" w:rsidR="00C338B5" w:rsidRDefault="001D6D0F" w:rsidP="00101DD4">
      <w:pPr>
        <w:pStyle w:val="Hesber1st"/>
        <w:tabs>
          <w:tab w:val="clear" w:pos="680"/>
        </w:tabs>
        <w:rPr>
          <w:rtl/>
        </w:rPr>
      </w:pPr>
      <w:r>
        <w:rPr>
          <w:rFonts w:hint="cs"/>
          <w:rtl/>
        </w:rPr>
        <w:t xml:space="preserve"> </w:t>
      </w:r>
      <w:r w:rsidR="003F5070">
        <w:rPr>
          <w:rFonts w:hint="cs"/>
          <w:rtl/>
        </w:rPr>
        <w:t xml:space="preserve">   </w:t>
      </w:r>
      <w:r w:rsidR="005A7E1B">
        <w:rPr>
          <w:rFonts w:hint="cs"/>
          <w:rtl/>
        </w:rPr>
        <w:t xml:space="preserve"> </w:t>
      </w:r>
      <w:r w:rsidR="00A208C5">
        <w:rPr>
          <w:rFonts w:hint="cs"/>
          <w:rtl/>
        </w:rPr>
        <w:t xml:space="preserve"> </w:t>
      </w:r>
    </w:p>
    <w:p w14:paraId="1C7F9423" w14:textId="77777777" w:rsidR="00F06EA2" w:rsidRDefault="001D6D0F" w:rsidP="00507D69">
      <w:pPr>
        <w:pStyle w:val="Hesber1st"/>
        <w:tabs>
          <w:tab w:val="clear" w:pos="680"/>
        </w:tabs>
        <w:rPr>
          <w:b/>
          <w:bCs/>
          <w:rtl/>
        </w:rPr>
      </w:pPr>
      <w:r>
        <w:rPr>
          <w:rFonts w:hint="cs"/>
          <w:b/>
          <w:bCs/>
          <w:rtl/>
        </w:rPr>
        <w:t>תיקון תקנות 3, 16, 17, 19, 24, 31</w:t>
      </w:r>
    </w:p>
    <w:p w14:paraId="6562BC68" w14:textId="77777777" w:rsidR="00F06EA2" w:rsidRPr="00492D6F" w:rsidRDefault="001D6D0F" w:rsidP="00E01D19">
      <w:pPr>
        <w:pStyle w:val="Hesber1st"/>
        <w:tabs>
          <w:tab w:val="clear" w:pos="680"/>
        </w:tabs>
        <w:rPr>
          <w:rtl/>
        </w:rPr>
      </w:pPr>
      <w:r>
        <w:rPr>
          <w:rFonts w:hint="cs"/>
          <w:rtl/>
        </w:rPr>
        <w:t xml:space="preserve">מוצע לערוך את התיקונים הנדרשים בתקנות האמורות נוכח הוראת תקנה 31 לתקנות העיקריות. תקנה 31 קובעת כי על המצאת מסמכים והחלטות יחול הפרק הרלוונטי בתקנות סדר הדין האזרחי בשינויים המחויבים. הפרק הרלוונטי הוא פרק י"ט לחלק ב' </w:t>
      </w:r>
      <w:proofErr w:type="spellStart"/>
      <w:r>
        <w:rPr>
          <w:rFonts w:hint="cs"/>
          <w:rtl/>
        </w:rPr>
        <w:t>לתקסד"א</w:t>
      </w:r>
      <w:proofErr w:type="spellEnd"/>
      <w:r>
        <w:rPr>
          <w:rFonts w:hint="cs"/>
          <w:rtl/>
        </w:rPr>
        <w:t xml:space="preserve"> 2018. פרק זה מסדיר את כללי ההמצאה, ומכאן </w:t>
      </w:r>
      <w:r w:rsidR="00E01D19">
        <w:rPr>
          <w:rFonts w:hint="cs"/>
          <w:rtl/>
        </w:rPr>
        <w:t>ההתאמות</w:t>
      </w:r>
      <w:r>
        <w:rPr>
          <w:rFonts w:hint="cs"/>
          <w:rtl/>
        </w:rPr>
        <w:t xml:space="preserve"> המוצעות לתקנות האמורות. </w:t>
      </w:r>
    </w:p>
    <w:p w14:paraId="17E2DCBE" w14:textId="77777777" w:rsidR="00F06EA2" w:rsidRDefault="00F06EA2" w:rsidP="00507D69">
      <w:pPr>
        <w:pStyle w:val="Hesber1st"/>
        <w:tabs>
          <w:tab w:val="clear" w:pos="680"/>
        </w:tabs>
        <w:rPr>
          <w:b/>
          <w:bCs/>
          <w:rtl/>
        </w:rPr>
      </w:pPr>
    </w:p>
    <w:p w14:paraId="753B1B45" w14:textId="77777777" w:rsidR="004A126F" w:rsidRDefault="001D6D0F" w:rsidP="00507D69">
      <w:pPr>
        <w:pStyle w:val="Hesber1st"/>
        <w:tabs>
          <w:tab w:val="clear" w:pos="680"/>
        </w:tabs>
        <w:rPr>
          <w:b/>
          <w:bCs/>
          <w:rtl/>
        </w:rPr>
      </w:pPr>
      <w:r>
        <w:rPr>
          <w:rFonts w:hint="cs"/>
          <w:b/>
          <w:bCs/>
          <w:rtl/>
        </w:rPr>
        <w:t>תיקון תקנה 32</w:t>
      </w:r>
    </w:p>
    <w:p w14:paraId="77921362" w14:textId="77777777" w:rsidR="004A126F" w:rsidRPr="00342618" w:rsidRDefault="001D6D0F" w:rsidP="00507D69">
      <w:pPr>
        <w:pStyle w:val="Hesber1st"/>
        <w:tabs>
          <w:tab w:val="clear" w:pos="680"/>
        </w:tabs>
        <w:rPr>
          <w:rtl/>
        </w:rPr>
      </w:pPr>
      <w:r>
        <w:rPr>
          <w:rFonts w:hint="cs"/>
          <w:rtl/>
        </w:rPr>
        <w:t xml:space="preserve">מוצע לבטל את תקנת משנה 32(ג). התקנה קובעת היום כי "אוצר המדינה לא </w:t>
      </w:r>
      <w:proofErr w:type="spellStart"/>
      <w:r>
        <w:rPr>
          <w:rFonts w:hint="cs"/>
          <w:rtl/>
        </w:rPr>
        <w:t>יחוייב</w:t>
      </w:r>
      <w:proofErr w:type="spellEnd"/>
      <w:r>
        <w:rPr>
          <w:rFonts w:hint="cs"/>
          <w:rtl/>
        </w:rPr>
        <w:t xml:space="preserve"> לשלם לפי תקנת משנה (ב) שכר מומחה העולה על השיעורים הקבועים בתוספת השנייה לתקנות סדר הדין". התוספת השנייה האמורה בוטלה במסגרת </w:t>
      </w:r>
      <w:proofErr w:type="spellStart"/>
      <w:r>
        <w:rPr>
          <w:rFonts w:hint="cs"/>
          <w:rtl/>
        </w:rPr>
        <w:t>תקסד"א</w:t>
      </w:r>
      <w:proofErr w:type="spellEnd"/>
      <w:r>
        <w:rPr>
          <w:rFonts w:hint="cs"/>
          <w:rtl/>
        </w:rPr>
        <w:t xml:space="preserve"> 2018. במקומה נקבע כי שכר המומחה </w:t>
      </w:r>
      <w:r w:rsidR="004A2726">
        <w:rPr>
          <w:rFonts w:hint="cs"/>
          <w:rtl/>
        </w:rPr>
        <w:t xml:space="preserve">יהיה נתון לשיקול דעת בית המשפט. בהתאם, מוצע לבטל את תקנת משנה (ג) ולהחיל את אותו ההסדר שנקבע </w:t>
      </w:r>
      <w:proofErr w:type="spellStart"/>
      <w:r w:rsidR="004A2726">
        <w:rPr>
          <w:rFonts w:hint="cs"/>
          <w:rtl/>
        </w:rPr>
        <w:t>בתקסד"א</w:t>
      </w:r>
      <w:proofErr w:type="spellEnd"/>
      <w:r w:rsidR="004A2726">
        <w:rPr>
          <w:rFonts w:hint="cs"/>
          <w:rtl/>
        </w:rPr>
        <w:t xml:space="preserve"> 2018 לעניין שכר מומחה גם בבית הדין לתחרות. </w:t>
      </w:r>
    </w:p>
    <w:p w14:paraId="39FE9767" w14:textId="77777777" w:rsidR="004A126F" w:rsidRDefault="004A126F" w:rsidP="00507D69">
      <w:pPr>
        <w:pStyle w:val="Hesber1st"/>
        <w:tabs>
          <w:tab w:val="clear" w:pos="680"/>
        </w:tabs>
        <w:rPr>
          <w:b/>
          <w:bCs/>
          <w:rtl/>
        </w:rPr>
      </w:pPr>
    </w:p>
    <w:p w14:paraId="77032D8C" w14:textId="77777777" w:rsidR="0034799B" w:rsidRPr="0034799B" w:rsidRDefault="001D6D0F" w:rsidP="00507D69">
      <w:pPr>
        <w:pStyle w:val="Hesber1st"/>
        <w:tabs>
          <w:tab w:val="clear" w:pos="680"/>
        </w:tabs>
        <w:rPr>
          <w:b/>
          <w:bCs/>
          <w:rtl/>
        </w:rPr>
      </w:pPr>
      <w:r>
        <w:rPr>
          <w:rFonts w:hint="cs"/>
          <w:b/>
          <w:bCs/>
          <w:rtl/>
        </w:rPr>
        <w:t>תיקון תקנה 37</w:t>
      </w:r>
    </w:p>
    <w:p w14:paraId="4FF7399D" w14:textId="77777777" w:rsidR="00507D69" w:rsidRDefault="001D6D0F" w:rsidP="00D8547E">
      <w:pPr>
        <w:pStyle w:val="Hesber1st"/>
        <w:tabs>
          <w:tab w:val="clear" w:pos="680"/>
        </w:tabs>
        <w:rPr>
          <w:rtl/>
        </w:rPr>
      </w:pPr>
      <w:r>
        <w:rPr>
          <w:rFonts w:hint="cs"/>
          <w:rtl/>
        </w:rPr>
        <w:t xml:space="preserve">תקנה 37 </w:t>
      </w:r>
      <w:r w:rsidR="001E7D64">
        <w:rPr>
          <w:rFonts w:hint="cs"/>
          <w:rtl/>
        </w:rPr>
        <w:t xml:space="preserve">עוסקת בסדרי דין בערעור לפי סעיף 39 לחוק התחרות </w:t>
      </w:r>
      <w:r w:rsidR="00E04901">
        <w:rPr>
          <w:rFonts w:hint="cs"/>
          <w:rtl/>
        </w:rPr>
        <w:t xml:space="preserve">הקובע כי בעל דין שנפגע מהחלטת בית הדין רשאי לערער לפני בית המשפט העליון בתוך ארבעים וחמישה ימים. </w:t>
      </w:r>
      <w:r w:rsidR="0056056C">
        <w:rPr>
          <w:rFonts w:hint="cs"/>
          <w:rtl/>
        </w:rPr>
        <w:t>תקנה 37</w:t>
      </w:r>
      <w:r w:rsidR="00C41AE9">
        <w:rPr>
          <w:rFonts w:hint="cs"/>
          <w:rtl/>
        </w:rPr>
        <w:t xml:space="preserve"> </w:t>
      </w:r>
      <w:r w:rsidR="0056056C">
        <w:rPr>
          <w:rFonts w:hint="cs"/>
          <w:rtl/>
        </w:rPr>
        <w:t>מפנה</w:t>
      </w:r>
      <w:r w:rsidR="005A7E1B">
        <w:rPr>
          <w:rFonts w:hint="cs"/>
          <w:rtl/>
        </w:rPr>
        <w:t>, לאחר התיקון,</w:t>
      </w:r>
      <w:r w:rsidR="0056056C">
        <w:rPr>
          <w:rFonts w:hint="cs"/>
          <w:rtl/>
        </w:rPr>
        <w:t xml:space="preserve"> לפרק י"ז </w:t>
      </w:r>
      <w:r w:rsidR="00D8547E">
        <w:rPr>
          <w:rFonts w:hint="cs"/>
          <w:rtl/>
        </w:rPr>
        <w:t xml:space="preserve">לחלק ב' </w:t>
      </w:r>
      <w:proofErr w:type="spellStart"/>
      <w:r w:rsidR="00AC252C">
        <w:rPr>
          <w:rFonts w:hint="cs"/>
          <w:rtl/>
        </w:rPr>
        <w:t>ל</w:t>
      </w:r>
      <w:r w:rsidR="0056056C" w:rsidRPr="00AC252C">
        <w:rPr>
          <w:rFonts w:hint="cs"/>
          <w:rtl/>
        </w:rPr>
        <w:t>תק</w:t>
      </w:r>
      <w:r w:rsidR="00D8547E">
        <w:rPr>
          <w:rFonts w:hint="cs"/>
          <w:rtl/>
        </w:rPr>
        <w:t>סד</w:t>
      </w:r>
      <w:r w:rsidR="0056056C" w:rsidRPr="00AC252C">
        <w:rPr>
          <w:rFonts w:hint="cs"/>
          <w:rtl/>
        </w:rPr>
        <w:t>"א</w:t>
      </w:r>
      <w:proofErr w:type="spellEnd"/>
      <w:r w:rsidR="0056056C" w:rsidRPr="00AC252C">
        <w:rPr>
          <w:rFonts w:hint="cs"/>
          <w:rtl/>
        </w:rPr>
        <w:t xml:space="preserve"> 2018</w:t>
      </w:r>
      <w:r w:rsidR="0056056C">
        <w:rPr>
          <w:rFonts w:hint="cs"/>
          <w:rtl/>
        </w:rPr>
        <w:t xml:space="preserve">. </w:t>
      </w:r>
      <w:r w:rsidR="00AE1E33">
        <w:rPr>
          <w:rFonts w:hint="cs"/>
          <w:rtl/>
        </w:rPr>
        <w:t>תקנה</w:t>
      </w:r>
      <w:r w:rsidR="009537E0">
        <w:rPr>
          <w:rFonts w:hint="cs"/>
          <w:rtl/>
        </w:rPr>
        <w:t xml:space="preserve"> 140</w:t>
      </w:r>
      <w:r w:rsidR="00282BCF">
        <w:rPr>
          <w:rFonts w:hint="cs"/>
          <w:rtl/>
        </w:rPr>
        <w:t>(א)(1)</w:t>
      </w:r>
      <w:r w:rsidR="009537E0">
        <w:rPr>
          <w:rFonts w:hint="cs"/>
          <w:rtl/>
        </w:rPr>
        <w:t xml:space="preserve"> </w:t>
      </w:r>
      <w:r w:rsidR="00E01C7E">
        <w:rPr>
          <w:rFonts w:hint="cs"/>
          <w:rtl/>
        </w:rPr>
        <w:t>ב</w:t>
      </w:r>
      <w:r w:rsidR="009537E0">
        <w:rPr>
          <w:rFonts w:hint="cs"/>
          <w:rtl/>
        </w:rPr>
        <w:t>פרק י"ז</w:t>
      </w:r>
      <w:r w:rsidR="0056056C">
        <w:rPr>
          <w:rFonts w:hint="cs"/>
          <w:rtl/>
        </w:rPr>
        <w:t xml:space="preserve"> </w:t>
      </w:r>
      <w:r w:rsidR="00D8547E">
        <w:rPr>
          <w:rFonts w:hint="cs"/>
          <w:rtl/>
        </w:rPr>
        <w:t xml:space="preserve">לחלק ב' </w:t>
      </w:r>
      <w:proofErr w:type="spellStart"/>
      <w:r w:rsidR="0056056C">
        <w:rPr>
          <w:rFonts w:hint="cs"/>
          <w:rtl/>
        </w:rPr>
        <w:t>לתקסד"</w:t>
      </w:r>
      <w:r w:rsidR="00C41AE9">
        <w:rPr>
          <w:rFonts w:hint="cs"/>
          <w:rtl/>
        </w:rPr>
        <w:t>א</w:t>
      </w:r>
      <w:proofErr w:type="spellEnd"/>
      <w:r w:rsidR="0056056C">
        <w:rPr>
          <w:rFonts w:hint="cs"/>
          <w:rtl/>
        </w:rPr>
        <w:t xml:space="preserve"> 2018</w:t>
      </w:r>
      <w:r w:rsidR="009537E0">
        <w:rPr>
          <w:rFonts w:hint="cs"/>
          <w:rtl/>
        </w:rPr>
        <w:t xml:space="preserve"> </w:t>
      </w:r>
      <w:r w:rsidR="00E01C7E">
        <w:rPr>
          <w:rFonts w:hint="cs"/>
          <w:rtl/>
        </w:rPr>
        <w:t>קובעת כי</w:t>
      </w:r>
      <w:r w:rsidR="0034799B">
        <w:rPr>
          <w:rFonts w:hint="cs"/>
          <w:rtl/>
        </w:rPr>
        <w:t xml:space="preserve"> </w:t>
      </w:r>
      <w:r w:rsidR="00282BCF">
        <w:rPr>
          <w:rFonts w:hint="cs"/>
          <w:rtl/>
        </w:rPr>
        <w:t>תשובה בכתב לערעור תוגש בתוך שישי</w:t>
      </w:r>
      <w:r w:rsidR="00281ECA">
        <w:rPr>
          <w:rFonts w:hint="cs"/>
          <w:rtl/>
        </w:rPr>
        <w:t xml:space="preserve">ם ימים. </w:t>
      </w:r>
      <w:r w:rsidR="00E01C7E">
        <w:rPr>
          <w:rFonts w:hint="cs"/>
          <w:rtl/>
        </w:rPr>
        <w:t>לצורך</w:t>
      </w:r>
      <w:r>
        <w:rPr>
          <w:rFonts w:hint="cs"/>
          <w:rtl/>
        </w:rPr>
        <w:t xml:space="preserve"> השוו</w:t>
      </w:r>
      <w:r w:rsidR="00E01C7E">
        <w:rPr>
          <w:rFonts w:hint="cs"/>
          <w:rtl/>
        </w:rPr>
        <w:t>א</w:t>
      </w:r>
      <w:r>
        <w:rPr>
          <w:rFonts w:hint="cs"/>
          <w:rtl/>
        </w:rPr>
        <w:t xml:space="preserve">ת </w:t>
      </w:r>
      <w:r w:rsidR="00E01C7E">
        <w:rPr>
          <w:rFonts w:hint="cs"/>
          <w:rtl/>
        </w:rPr>
        <w:t>מ</w:t>
      </w:r>
      <w:r>
        <w:rPr>
          <w:rFonts w:hint="cs"/>
          <w:rtl/>
        </w:rPr>
        <w:t>ניין הימים להגשת ערעור</w:t>
      </w:r>
      <w:r w:rsidR="0034799B">
        <w:rPr>
          <w:rFonts w:hint="cs"/>
          <w:rtl/>
        </w:rPr>
        <w:t>, ארבעים וחמישה ימים,</w:t>
      </w:r>
      <w:r>
        <w:rPr>
          <w:rFonts w:hint="cs"/>
          <w:rtl/>
        </w:rPr>
        <w:t xml:space="preserve"> עם מניי</w:t>
      </w:r>
      <w:r w:rsidR="0034799B">
        <w:rPr>
          <w:rFonts w:hint="cs"/>
          <w:rtl/>
        </w:rPr>
        <w:t>ן הימים להגשת תשובה לערעור</w:t>
      </w:r>
      <w:r w:rsidR="00C41AE9">
        <w:rPr>
          <w:rFonts w:hint="cs"/>
          <w:rtl/>
        </w:rPr>
        <w:t xml:space="preserve">, </w:t>
      </w:r>
      <w:r w:rsidR="00D43200">
        <w:rPr>
          <w:rFonts w:hint="cs"/>
          <w:rtl/>
        </w:rPr>
        <w:t>מוצע</w:t>
      </w:r>
      <w:r>
        <w:rPr>
          <w:rFonts w:hint="cs"/>
          <w:rtl/>
        </w:rPr>
        <w:t xml:space="preserve"> </w:t>
      </w:r>
      <w:r w:rsidR="00AA5902">
        <w:rPr>
          <w:rFonts w:hint="cs"/>
          <w:rtl/>
        </w:rPr>
        <w:t>לקבוע כי יקראו</w:t>
      </w:r>
      <w:r>
        <w:rPr>
          <w:rFonts w:hint="cs"/>
          <w:rtl/>
        </w:rPr>
        <w:t xml:space="preserve"> את תקנה 140(א)(1) כמקנה ארבעים וחמישה ימים להגשת תשובה בכתב לערעור. </w:t>
      </w:r>
    </w:p>
    <w:p w14:paraId="5A6A0949" w14:textId="77777777" w:rsidR="00507D69" w:rsidRDefault="00507D69" w:rsidP="00507D69">
      <w:pPr>
        <w:pStyle w:val="Hesber1st"/>
        <w:tabs>
          <w:tab w:val="clear" w:pos="680"/>
        </w:tabs>
        <w:rPr>
          <w:rtl/>
        </w:rPr>
      </w:pPr>
    </w:p>
    <w:p w14:paraId="30F319C6" w14:textId="77777777" w:rsidR="005A7E1B" w:rsidRDefault="005A7E1B" w:rsidP="00507D69">
      <w:pPr>
        <w:pStyle w:val="Hesber1st"/>
        <w:tabs>
          <w:tab w:val="clear" w:pos="680"/>
        </w:tabs>
        <w:rPr>
          <w:rtl/>
        </w:rPr>
      </w:pPr>
    </w:p>
    <w:p w14:paraId="79309C1D" w14:textId="77777777" w:rsidR="002450A9" w:rsidRDefault="002450A9"/>
    <w:sectPr w:rsidR="002450A9" w:rsidSect="009A6B0E">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816E6" w14:textId="77777777" w:rsidR="009453E8" w:rsidRDefault="009453E8">
      <w:pPr>
        <w:spacing w:line="240" w:lineRule="auto"/>
      </w:pPr>
      <w:r>
        <w:separator/>
      </w:r>
    </w:p>
  </w:endnote>
  <w:endnote w:type="continuationSeparator" w:id="0">
    <w:p w14:paraId="73A58E6B" w14:textId="77777777" w:rsidR="009453E8" w:rsidRDefault="009453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F32B5" w14:textId="77777777" w:rsidR="009453E8" w:rsidRDefault="009453E8" w:rsidP="00A102A7">
      <w:pPr>
        <w:spacing w:line="240" w:lineRule="auto"/>
        <w:ind w:left="0"/>
      </w:pPr>
      <w:r>
        <w:separator/>
      </w:r>
    </w:p>
  </w:footnote>
  <w:footnote w:type="continuationSeparator" w:id="0">
    <w:p w14:paraId="462B89F1" w14:textId="77777777" w:rsidR="009453E8" w:rsidRDefault="009453E8" w:rsidP="004B6AF8">
      <w:pPr>
        <w:spacing w:line="240" w:lineRule="auto"/>
      </w:pPr>
      <w:r>
        <w:continuationSeparator/>
      </w:r>
    </w:p>
  </w:footnote>
  <w:footnote w:id="1">
    <w:p w14:paraId="0EFD2F49" w14:textId="77777777" w:rsidR="004B6AF8" w:rsidRDefault="001D6D0F">
      <w:pPr>
        <w:pStyle w:val="FootnoteText"/>
      </w:pPr>
      <w:r>
        <w:rPr>
          <w:rStyle w:val="FootnoteReference"/>
        </w:rPr>
        <w:footnoteRef/>
      </w:r>
      <w:r>
        <w:rPr>
          <w:rtl/>
        </w:rPr>
        <w:t xml:space="preserve"> ס"ח </w:t>
      </w:r>
      <w:proofErr w:type="spellStart"/>
      <w:r>
        <w:rPr>
          <w:rtl/>
        </w:rPr>
        <w:t>התשמ"ח</w:t>
      </w:r>
      <w:proofErr w:type="spellEnd"/>
      <w:r>
        <w:rPr>
          <w:rtl/>
        </w:rPr>
        <w:t>, עמ' 128</w:t>
      </w:r>
      <w:r>
        <w:rPr>
          <w:rFonts w:hint="cs"/>
          <w:rtl/>
        </w:rPr>
        <w:t xml:space="preserve">; </w:t>
      </w:r>
      <w:proofErr w:type="spellStart"/>
      <w:r>
        <w:rPr>
          <w:rFonts w:hint="cs"/>
          <w:rtl/>
        </w:rPr>
        <w:t>התשע"ט</w:t>
      </w:r>
      <w:proofErr w:type="spellEnd"/>
      <w:r>
        <w:rPr>
          <w:rFonts w:hint="cs"/>
          <w:rtl/>
        </w:rPr>
        <w:t xml:space="preserve">, עמ' 246. </w:t>
      </w:r>
    </w:p>
  </w:footnote>
  <w:footnote w:id="2">
    <w:p w14:paraId="220BB4AD" w14:textId="77777777" w:rsidR="00D76895" w:rsidRDefault="001D6D0F" w:rsidP="009A6EE2">
      <w:pPr>
        <w:pStyle w:val="FootnoteText"/>
      </w:pPr>
      <w:r>
        <w:rPr>
          <w:rStyle w:val="FootnoteReference"/>
        </w:rPr>
        <w:footnoteRef/>
      </w:r>
      <w:r>
        <w:rPr>
          <w:rtl/>
        </w:rPr>
        <w:t xml:space="preserve"> </w:t>
      </w:r>
      <w:proofErr w:type="spellStart"/>
      <w:r>
        <w:rPr>
          <w:rFonts w:hint="cs"/>
          <w:rtl/>
        </w:rPr>
        <w:t>ק"ת</w:t>
      </w:r>
      <w:proofErr w:type="spellEnd"/>
      <w:r>
        <w:rPr>
          <w:rFonts w:hint="cs"/>
          <w:rtl/>
        </w:rPr>
        <w:t xml:space="preserve"> </w:t>
      </w:r>
      <w:proofErr w:type="spellStart"/>
      <w:r>
        <w:rPr>
          <w:rFonts w:hint="cs"/>
          <w:rtl/>
        </w:rPr>
        <w:t>ה</w:t>
      </w:r>
      <w:r w:rsidR="009A6EE2">
        <w:rPr>
          <w:rFonts w:hint="cs"/>
          <w:rtl/>
        </w:rPr>
        <w:t>תש</w:t>
      </w:r>
      <w:r>
        <w:rPr>
          <w:rFonts w:hint="cs"/>
          <w:rtl/>
        </w:rPr>
        <w:t>מ"ט</w:t>
      </w:r>
      <w:proofErr w:type="spellEnd"/>
      <w:r>
        <w:rPr>
          <w:rFonts w:hint="cs"/>
          <w:rtl/>
        </w:rPr>
        <w:t xml:space="preserve">, עמ' 98; </w:t>
      </w:r>
      <w:proofErr w:type="spellStart"/>
      <w:r>
        <w:rPr>
          <w:rFonts w:hint="cs"/>
          <w:rtl/>
        </w:rPr>
        <w:t>התשנ"ג</w:t>
      </w:r>
      <w:proofErr w:type="spellEnd"/>
      <w:r>
        <w:rPr>
          <w:rFonts w:hint="cs"/>
          <w:rtl/>
        </w:rPr>
        <w:t xml:space="preserve">, עמ' 886. </w:t>
      </w:r>
    </w:p>
  </w:footnote>
  <w:footnote w:id="3">
    <w:p w14:paraId="361F0A52" w14:textId="77777777" w:rsidR="009A6EE2" w:rsidRDefault="001D6D0F">
      <w:pPr>
        <w:pStyle w:val="FootnoteText"/>
        <w:rPr>
          <w:rtl/>
        </w:rPr>
      </w:pPr>
      <w:r>
        <w:rPr>
          <w:rStyle w:val="FootnoteReference"/>
        </w:rPr>
        <w:footnoteRef/>
      </w:r>
      <w:r>
        <w:rPr>
          <w:rtl/>
        </w:rPr>
        <w:t xml:space="preserve"> </w:t>
      </w:r>
      <w:proofErr w:type="spellStart"/>
      <w:r>
        <w:rPr>
          <w:rFonts w:hint="cs"/>
          <w:rtl/>
        </w:rPr>
        <w:t>ק"ת</w:t>
      </w:r>
      <w:proofErr w:type="spellEnd"/>
      <w:r>
        <w:rPr>
          <w:rFonts w:hint="cs"/>
          <w:rtl/>
        </w:rPr>
        <w:t xml:space="preserve"> </w:t>
      </w:r>
      <w:proofErr w:type="spellStart"/>
      <w:r>
        <w:rPr>
          <w:rFonts w:hint="cs"/>
          <w:rtl/>
        </w:rPr>
        <w:t>התשע"ט</w:t>
      </w:r>
      <w:proofErr w:type="spellEnd"/>
      <w:r>
        <w:rPr>
          <w:rFonts w:hint="cs"/>
          <w:rtl/>
        </w:rPr>
        <w:t xml:space="preserve">, עמ' 422.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943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A2E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00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D24B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8A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972A86"/>
    <w:multiLevelType w:val="hybridMultilevel"/>
    <w:tmpl w:val="0D5028AE"/>
    <w:lvl w:ilvl="0" w:tplc="DAD6EE98">
      <w:start w:val="1"/>
      <w:numFmt w:val="decimal"/>
      <w:lvlText w:val="%1."/>
      <w:lvlJc w:val="left"/>
      <w:pPr>
        <w:ind w:left="700" w:hanging="360"/>
      </w:pPr>
      <w:rPr>
        <w:rFonts w:hint="default"/>
      </w:rPr>
    </w:lvl>
    <w:lvl w:ilvl="1" w:tplc="D1B2536A" w:tentative="1">
      <w:start w:val="1"/>
      <w:numFmt w:val="lowerLetter"/>
      <w:lvlText w:val="%2."/>
      <w:lvlJc w:val="left"/>
      <w:pPr>
        <w:ind w:left="1420" w:hanging="360"/>
      </w:pPr>
    </w:lvl>
    <w:lvl w:ilvl="2" w:tplc="6FCC7D8A" w:tentative="1">
      <w:start w:val="1"/>
      <w:numFmt w:val="lowerRoman"/>
      <w:lvlText w:val="%3."/>
      <w:lvlJc w:val="right"/>
      <w:pPr>
        <w:ind w:left="2140" w:hanging="180"/>
      </w:pPr>
    </w:lvl>
    <w:lvl w:ilvl="3" w:tplc="7A3E43A6" w:tentative="1">
      <w:start w:val="1"/>
      <w:numFmt w:val="decimal"/>
      <w:lvlText w:val="%4."/>
      <w:lvlJc w:val="left"/>
      <w:pPr>
        <w:ind w:left="2860" w:hanging="360"/>
      </w:pPr>
    </w:lvl>
    <w:lvl w:ilvl="4" w:tplc="92B6C38A" w:tentative="1">
      <w:start w:val="1"/>
      <w:numFmt w:val="lowerLetter"/>
      <w:lvlText w:val="%5."/>
      <w:lvlJc w:val="left"/>
      <w:pPr>
        <w:ind w:left="3580" w:hanging="360"/>
      </w:pPr>
    </w:lvl>
    <w:lvl w:ilvl="5" w:tplc="19A67094" w:tentative="1">
      <w:start w:val="1"/>
      <w:numFmt w:val="lowerRoman"/>
      <w:lvlText w:val="%6."/>
      <w:lvlJc w:val="right"/>
      <w:pPr>
        <w:ind w:left="4300" w:hanging="180"/>
      </w:pPr>
    </w:lvl>
    <w:lvl w:ilvl="6" w:tplc="4F9454C8" w:tentative="1">
      <w:start w:val="1"/>
      <w:numFmt w:val="decimal"/>
      <w:lvlText w:val="%7."/>
      <w:lvlJc w:val="left"/>
      <w:pPr>
        <w:ind w:left="5020" w:hanging="360"/>
      </w:pPr>
    </w:lvl>
    <w:lvl w:ilvl="7" w:tplc="DDEE9354" w:tentative="1">
      <w:start w:val="1"/>
      <w:numFmt w:val="lowerLetter"/>
      <w:lvlText w:val="%8."/>
      <w:lvlJc w:val="left"/>
      <w:pPr>
        <w:ind w:left="5740" w:hanging="360"/>
      </w:pPr>
    </w:lvl>
    <w:lvl w:ilvl="8" w:tplc="94283EF8" w:tentative="1">
      <w:start w:val="1"/>
      <w:numFmt w:val="lowerRoman"/>
      <w:lvlText w:val="%9."/>
      <w:lvlJc w:val="right"/>
      <w:pPr>
        <w:ind w:left="6460" w:hanging="180"/>
      </w:pPr>
    </w:lvl>
  </w:abstractNum>
  <w:abstractNum w:abstractNumId="11" w15:restartNumberingAfterBreak="0">
    <w:nsid w:val="1CDD78F3"/>
    <w:multiLevelType w:val="hybridMultilevel"/>
    <w:tmpl w:val="9E4C4E42"/>
    <w:lvl w:ilvl="0" w:tplc="70FE44FE">
      <w:start w:val="1"/>
      <w:numFmt w:val="decimal"/>
      <w:lvlText w:val="(%1)"/>
      <w:lvlJc w:val="left"/>
      <w:pPr>
        <w:tabs>
          <w:tab w:val="num" w:pos="624"/>
        </w:tabs>
        <w:ind w:left="0" w:firstLine="0"/>
      </w:pPr>
      <w:rPr>
        <w:rFonts w:hint="default"/>
      </w:rPr>
    </w:lvl>
    <w:lvl w:ilvl="1" w:tplc="1E1C6A82" w:tentative="1">
      <w:start w:val="1"/>
      <w:numFmt w:val="lowerLetter"/>
      <w:lvlText w:val="%2."/>
      <w:lvlJc w:val="left"/>
      <w:pPr>
        <w:tabs>
          <w:tab w:val="num" w:pos="1440"/>
        </w:tabs>
        <w:ind w:left="1440" w:hanging="360"/>
      </w:pPr>
    </w:lvl>
    <w:lvl w:ilvl="2" w:tplc="8B8E4046" w:tentative="1">
      <w:start w:val="1"/>
      <w:numFmt w:val="lowerRoman"/>
      <w:lvlText w:val="%3."/>
      <w:lvlJc w:val="right"/>
      <w:pPr>
        <w:tabs>
          <w:tab w:val="num" w:pos="2160"/>
        </w:tabs>
        <w:ind w:left="2160" w:hanging="180"/>
      </w:pPr>
    </w:lvl>
    <w:lvl w:ilvl="3" w:tplc="444217D4" w:tentative="1">
      <w:start w:val="1"/>
      <w:numFmt w:val="decimal"/>
      <w:lvlText w:val="%4."/>
      <w:lvlJc w:val="left"/>
      <w:pPr>
        <w:tabs>
          <w:tab w:val="num" w:pos="2880"/>
        </w:tabs>
        <w:ind w:left="2880" w:hanging="360"/>
      </w:pPr>
    </w:lvl>
    <w:lvl w:ilvl="4" w:tplc="859E6640" w:tentative="1">
      <w:start w:val="1"/>
      <w:numFmt w:val="lowerLetter"/>
      <w:lvlText w:val="%5."/>
      <w:lvlJc w:val="left"/>
      <w:pPr>
        <w:tabs>
          <w:tab w:val="num" w:pos="3600"/>
        </w:tabs>
        <w:ind w:left="3600" w:hanging="360"/>
      </w:pPr>
    </w:lvl>
    <w:lvl w:ilvl="5" w:tplc="06DC953E" w:tentative="1">
      <w:start w:val="1"/>
      <w:numFmt w:val="lowerRoman"/>
      <w:lvlText w:val="%6."/>
      <w:lvlJc w:val="right"/>
      <w:pPr>
        <w:tabs>
          <w:tab w:val="num" w:pos="4320"/>
        </w:tabs>
        <w:ind w:left="4320" w:hanging="180"/>
      </w:pPr>
    </w:lvl>
    <w:lvl w:ilvl="6" w:tplc="F88486B4" w:tentative="1">
      <w:start w:val="1"/>
      <w:numFmt w:val="decimal"/>
      <w:lvlText w:val="%7."/>
      <w:lvlJc w:val="left"/>
      <w:pPr>
        <w:tabs>
          <w:tab w:val="num" w:pos="5040"/>
        </w:tabs>
        <w:ind w:left="5040" w:hanging="360"/>
      </w:pPr>
    </w:lvl>
    <w:lvl w:ilvl="7" w:tplc="384E9A04" w:tentative="1">
      <w:start w:val="1"/>
      <w:numFmt w:val="lowerLetter"/>
      <w:lvlText w:val="%8."/>
      <w:lvlJc w:val="left"/>
      <w:pPr>
        <w:tabs>
          <w:tab w:val="num" w:pos="5760"/>
        </w:tabs>
        <w:ind w:left="5760" w:hanging="360"/>
      </w:pPr>
    </w:lvl>
    <w:lvl w:ilvl="8" w:tplc="0178D642" w:tentative="1">
      <w:start w:val="1"/>
      <w:numFmt w:val="lowerRoman"/>
      <w:lvlText w:val="%9."/>
      <w:lvlJc w:val="right"/>
      <w:pPr>
        <w:tabs>
          <w:tab w:val="num" w:pos="6480"/>
        </w:tabs>
        <w:ind w:left="6480" w:hanging="180"/>
      </w:pPr>
    </w:lvl>
  </w:abstractNum>
  <w:abstractNum w:abstractNumId="12" w15:restartNumberingAfterBreak="0">
    <w:nsid w:val="555A2B35"/>
    <w:multiLevelType w:val="hybridMultilevel"/>
    <w:tmpl w:val="F61ADD04"/>
    <w:lvl w:ilvl="0" w:tplc="4D981D76">
      <w:start w:val="1"/>
      <w:numFmt w:val="hebrew1"/>
      <w:pStyle w:val="Heading4"/>
      <w:suff w:val="space"/>
      <w:lvlText w:val="%1."/>
      <w:lvlJc w:val="left"/>
      <w:pPr>
        <w:ind w:left="0" w:firstLine="0"/>
      </w:pPr>
      <w:rPr>
        <w:rFonts w:hint="default"/>
      </w:rPr>
    </w:lvl>
    <w:lvl w:ilvl="1" w:tplc="9C109B7C">
      <w:start w:val="1"/>
      <w:numFmt w:val="decimal"/>
      <w:lvlText w:val="(%2)"/>
      <w:lvlJc w:val="left"/>
      <w:pPr>
        <w:tabs>
          <w:tab w:val="num" w:pos="624"/>
        </w:tabs>
        <w:ind w:left="0" w:firstLine="0"/>
      </w:pPr>
      <w:rPr>
        <w:rFonts w:hint="default"/>
      </w:rPr>
    </w:lvl>
    <w:lvl w:ilvl="2" w:tplc="52922402">
      <w:start w:val="1"/>
      <w:numFmt w:val="hebrew1"/>
      <w:lvlText w:val="(%3)"/>
      <w:lvlJc w:val="left"/>
      <w:pPr>
        <w:tabs>
          <w:tab w:val="num" w:pos="624"/>
        </w:tabs>
        <w:ind w:left="0" w:firstLine="0"/>
      </w:pPr>
      <w:rPr>
        <w:rFonts w:hint="default"/>
      </w:rPr>
    </w:lvl>
    <w:lvl w:ilvl="3" w:tplc="EADC8A70">
      <w:start w:val="1"/>
      <w:numFmt w:val="hebrew1"/>
      <w:lvlRestart w:val="0"/>
      <w:lvlText w:val="(%4)"/>
      <w:lvlJc w:val="left"/>
      <w:pPr>
        <w:tabs>
          <w:tab w:val="num" w:pos="624"/>
        </w:tabs>
        <w:ind w:left="0" w:firstLine="0"/>
      </w:pPr>
      <w:rPr>
        <w:rFonts w:hint="default"/>
      </w:rPr>
    </w:lvl>
    <w:lvl w:ilvl="4" w:tplc="52863F04">
      <w:start w:val="1"/>
      <w:numFmt w:val="decimal"/>
      <w:lvlRestart w:val="0"/>
      <w:lvlText w:val="(%5)"/>
      <w:lvlJc w:val="left"/>
      <w:pPr>
        <w:tabs>
          <w:tab w:val="num" w:pos="3864"/>
        </w:tabs>
        <w:ind w:left="3240" w:firstLine="0"/>
      </w:pPr>
      <w:rPr>
        <w:rFonts w:hint="default"/>
      </w:rPr>
    </w:lvl>
    <w:lvl w:ilvl="5" w:tplc="D71CDE2A" w:tentative="1">
      <w:start w:val="1"/>
      <w:numFmt w:val="lowerRoman"/>
      <w:lvlText w:val="%6."/>
      <w:lvlJc w:val="right"/>
      <w:pPr>
        <w:tabs>
          <w:tab w:val="num" w:pos="4320"/>
        </w:tabs>
        <w:ind w:left="4320" w:hanging="180"/>
      </w:pPr>
    </w:lvl>
    <w:lvl w:ilvl="6" w:tplc="6B563048" w:tentative="1">
      <w:start w:val="1"/>
      <w:numFmt w:val="decimal"/>
      <w:lvlText w:val="%7."/>
      <w:lvlJc w:val="left"/>
      <w:pPr>
        <w:tabs>
          <w:tab w:val="num" w:pos="5040"/>
        </w:tabs>
        <w:ind w:left="5040" w:hanging="360"/>
      </w:pPr>
    </w:lvl>
    <w:lvl w:ilvl="7" w:tplc="9446D1C2" w:tentative="1">
      <w:start w:val="1"/>
      <w:numFmt w:val="lowerLetter"/>
      <w:lvlText w:val="%8."/>
      <w:lvlJc w:val="left"/>
      <w:pPr>
        <w:tabs>
          <w:tab w:val="num" w:pos="5760"/>
        </w:tabs>
        <w:ind w:left="5760" w:hanging="360"/>
      </w:pPr>
    </w:lvl>
    <w:lvl w:ilvl="8" w:tplc="784C724E" w:tentative="1">
      <w:start w:val="1"/>
      <w:numFmt w:val="lowerRoman"/>
      <w:lvlText w:val="%9."/>
      <w:lvlJc w:val="right"/>
      <w:pPr>
        <w:tabs>
          <w:tab w:val="num" w:pos="6480"/>
        </w:tabs>
        <w:ind w:left="6480" w:hanging="180"/>
      </w:pPr>
    </w:lvl>
  </w:abstractNum>
  <w:abstractNum w:abstractNumId="13" w15:restartNumberingAfterBreak="0">
    <w:nsid w:val="5B3B28B0"/>
    <w:multiLevelType w:val="hybridMultilevel"/>
    <w:tmpl w:val="41ACEA96"/>
    <w:lvl w:ilvl="0" w:tplc="DFD44CB4">
      <w:start w:val="1"/>
      <w:numFmt w:val="decimal"/>
      <w:pStyle w:val="TOC3"/>
      <w:lvlText w:val="%1."/>
      <w:lvlJc w:val="left"/>
      <w:pPr>
        <w:ind w:left="1287" w:hanging="360"/>
      </w:pPr>
      <w:rPr>
        <w:rFonts w:cs="David" w:hint="default"/>
        <w:bCs w:val="0"/>
        <w:iCs w:val="0"/>
        <w:szCs w:val="24"/>
      </w:rPr>
    </w:lvl>
    <w:lvl w:ilvl="1" w:tplc="007CD570" w:tentative="1">
      <w:start w:val="1"/>
      <w:numFmt w:val="lowerLetter"/>
      <w:lvlText w:val="%2."/>
      <w:lvlJc w:val="left"/>
      <w:pPr>
        <w:ind w:left="2007" w:hanging="360"/>
      </w:pPr>
    </w:lvl>
    <w:lvl w:ilvl="2" w:tplc="A90E23B8" w:tentative="1">
      <w:start w:val="1"/>
      <w:numFmt w:val="lowerRoman"/>
      <w:lvlText w:val="%3."/>
      <w:lvlJc w:val="right"/>
      <w:pPr>
        <w:ind w:left="2727" w:hanging="180"/>
      </w:pPr>
    </w:lvl>
    <w:lvl w:ilvl="3" w:tplc="A84CDCDA" w:tentative="1">
      <w:start w:val="1"/>
      <w:numFmt w:val="decimal"/>
      <w:lvlText w:val="%4."/>
      <w:lvlJc w:val="left"/>
      <w:pPr>
        <w:ind w:left="3447" w:hanging="360"/>
      </w:pPr>
    </w:lvl>
    <w:lvl w:ilvl="4" w:tplc="1B4A2B3C" w:tentative="1">
      <w:start w:val="1"/>
      <w:numFmt w:val="lowerLetter"/>
      <w:lvlText w:val="%5."/>
      <w:lvlJc w:val="left"/>
      <w:pPr>
        <w:ind w:left="4167" w:hanging="360"/>
      </w:pPr>
    </w:lvl>
    <w:lvl w:ilvl="5" w:tplc="189ECD7C" w:tentative="1">
      <w:start w:val="1"/>
      <w:numFmt w:val="lowerRoman"/>
      <w:lvlText w:val="%6."/>
      <w:lvlJc w:val="right"/>
      <w:pPr>
        <w:ind w:left="4887" w:hanging="180"/>
      </w:pPr>
    </w:lvl>
    <w:lvl w:ilvl="6" w:tplc="9716C30C" w:tentative="1">
      <w:start w:val="1"/>
      <w:numFmt w:val="decimal"/>
      <w:lvlText w:val="%7."/>
      <w:lvlJc w:val="left"/>
      <w:pPr>
        <w:ind w:left="5607" w:hanging="360"/>
      </w:pPr>
    </w:lvl>
    <w:lvl w:ilvl="7" w:tplc="3B82406C" w:tentative="1">
      <w:start w:val="1"/>
      <w:numFmt w:val="lowerLetter"/>
      <w:lvlText w:val="%8."/>
      <w:lvlJc w:val="left"/>
      <w:pPr>
        <w:ind w:left="6327" w:hanging="360"/>
      </w:pPr>
    </w:lvl>
    <w:lvl w:ilvl="8" w:tplc="CD94420A" w:tentative="1">
      <w:start w:val="1"/>
      <w:numFmt w:val="lowerRoman"/>
      <w:lvlText w:val="%9."/>
      <w:lvlJc w:val="right"/>
      <w:pPr>
        <w:ind w:left="7047" w:hanging="180"/>
      </w:pPr>
    </w:lvl>
  </w:abstractNum>
  <w:abstractNum w:abstractNumId="14" w15:restartNumberingAfterBreak="0">
    <w:nsid w:val="753C544D"/>
    <w:multiLevelType w:val="hybridMultilevel"/>
    <w:tmpl w:val="C7443990"/>
    <w:lvl w:ilvl="0" w:tplc="D5E67F80">
      <w:start w:val="1"/>
      <w:numFmt w:val="decimal"/>
      <w:lvlText w:val="%1."/>
      <w:lvlJc w:val="left"/>
      <w:pPr>
        <w:tabs>
          <w:tab w:val="num" w:pos="0"/>
        </w:tabs>
        <w:ind w:left="0" w:firstLine="0"/>
      </w:pPr>
      <w:rPr>
        <w:rFonts w:hint="default"/>
      </w:rPr>
    </w:lvl>
    <w:lvl w:ilvl="1" w:tplc="B654606C">
      <w:start w:val="1"/>
      <w:numFmt w:val="decimal"/>
      <w:lvlText w:val="(%2)"/>
      <w:lvlJc w:val="left"/>
      <w:pPr>
        <w:tabs>
          <w:tab w:val="num" w:pos="624"/>
        </w:tabs>
        <w:ind w:left="0" w:firstLine="0"/>
      </w:pPr>
      <w:rPr>
        <w:rFonts w:hint="default"/>
      </w:rPr>
    </w:lvl>
    <w:lvl w:ilvl="2" w:tplc="6E5C317C">
      <w:start w:val="1"/>
      <w:numFmt w:val="hebrew1"/>
      <w:lvlText w:val="(%3)"/>
      <w:lvlJc w:val="left"/>
      <w:pPr>
        <w:tabs>
          <w:tab w:val="num" w:pos="624"/>
        </w:tabs>
        <w:ind w:left="0" w:firstLine="0"/>
      </w:pPr>
      <w:rPr>
        <w:rFonts w:hint="default"/>
      </w:rPr>
    </w:lvl>
    <w:lvl w:ilvl="3" w:tplc="C34CF732">
      <w:start w:val="1"/>
      <w:numFmt w:val="hebrew1"/>
      <w:lvlRestart w:val="0"/>
      <w:lvlText w:val="(%4)"/>
      <w:lvlJc w:val="left"/>
      <w:pPr>
        <w:tabs>
          <w:tab w:val="num" w:pos="624"/>
        </w:tabs>
        <w:ind w:left="0" w:firstLine="0"/>
      </w:pPr>
      <w:rPr>
        <w:rFonts w:hint="default"/>
      </w:rPr>
    </w:lvl>
    <w:lvl w:ilvl="4" w:tplc="C8AAB368">
      <w:start w:val="1"/>
      <w:numFmt w:val="decimal"/>
      <w:lvlRestart w:val="0"/>
      <w:lvlText w:val="(%5)"/>
      <w:lvlJc w:val="left"/>
      <w:pPr>
        <w:tabs>
          <w:tab w:val="num" w:pos="3864"/>
        </w:tabs>
        <w:ind w:left="3240" w:firstLine="0"/>
      </w:pPr>
      <w:rPr>
        <w:rFonts w:hint="default"/>
      </w:rPr>
    </w:lvl>
    <w:lvl w:ilvl="5" w:tplc="1EC82384" w:tentative="1">
      <w:start w:val="1"/>
      <w:numFmt w:val="lowerRoman"/>
      <w:lvlText w:val="%6."/>
      <w:lvlJc w:val="right"/>
      <w:pPr>
        <w:tabs>
          <w:tab w:val="num" w:pos="4320"/>
        </w:tabs>
        <w:ind w:left="4320" w:hanging="180"/>
      </w:pPr>
    </w:lvl>
    <w:lvl w:ilvl="6" w:tplc="D0C6B204" w:tentative="1">
      <w:start w:val="1"/>
      <w:numFmt w:val="decimal"/>
      <w:lvlText w:val="%7."/>
      <w:lvlJc w:val="left"/>
      <w:pPr>
        <w:tabs>
          <w:tab w:val="num" w:pos="5040"/>
        </w:tabs>
        <w:ind w:left="5040" w:hanging="360"/>
      </w:pPr>
    </w:lvl>
    <w:lvl w:ilvl="7" w:tplc="D6EA80B2" w:tentative="1">
      <w:start w:val="1"/>
      <w:numFmt w:val="lowerLetter"/>
      <w:lvlText w:val="%8."/>
      <w:lvlJc w:val="left"/>
      <w:pPr>
        <w:tabs>
          <w:tab w:val="num" w:pos="5760"/>
        </w:tabs>
        <w:ind w:left="5760" w:hanging="360"/>
      </w:pPr>
    </w:lvl>
    <w:lvl w:ilvl="8" w:tplc="A12E0638" w:tentative="1">
      <w:start w:val="1"/>
      <w:numFmt w:val="lowerRoman"/>
      <w:lvlText w:val="%9."/>
      <w:lvlJc w:val="right"/>
      <w:pPr>
        <w:tabs>
          <w:tab w:val="num" w:pos="6480"/>
        </w:tabs>
        <w:ind w:left="6480" w:hanging="180"/>
      </w:pPr>
    </w:lvl>
  </w:abstractNum>
  <w:abstractNum w:abstractNumId="15" w15:restartNumberingAfterBreak="0">
    <w:nsid w:val="75C858E4"/>
    <w:multiLevelType w:val="hybridMultilevel"/>
    <w:tmpl w:val="882C6ED4"/>
    <w:lvl w:ilvl="0" w:tplc="DE8E9860">
      <w:start w:val="1"/>
      <w:numFmt w:val="hebrew1"/>
      <w:lvlText w:val="(%1)"/>
      <w:lvlJc w:val="left"/>
      <w:pPr>
        <w:tabs>
          <w:tab w:val="num" w:pos="624"/>
        </w:tabs>
        <w:ind w:left="0" w:firstLine="0"/>
      </w:pPr>
      <w:rPr>
        <w:rFonts w:hint="default"/>
      </w:rPr>
    </w:lvl>
    <w:lvl w:ilvl="1" w:tplc="38EC2730">
      <w:start w:val="1"/>
      <w:numFmt w:val="decimal"/>
      <w:lvlRestart w:val="0"/>
      <w:lvlText w:val="(%2)"/>
      <w:lvlJc w:val="left"/>
      <w:pPr>
        <w:tabs>
          <w:tab w:val="num" w:pos="1704"/>
        </w:tabs>
        <w:ind w:left="1080" w:firstLine="0"/>
      </w:pPr>
      <w:rPr>
        <w:rFonts w:hint="default"/>
      </w:rPr>
    </w:lvl>
    <w:lvl w:ilvl="2" w:tplc="B1FCC4C4">
      <w:start w:val="1"/>
      <w:numFmt w:val="decimal"/>
      <w:lvlRestart w:val="0"/>
      <w:lvlText w:val="(%3)"/>
      <w:lvlJc w:val="left"/>
      <w:pPr>
        <w:tabs>
          <w:tab w:val="num" w:pos="2604"/>
        </w:tabs>
        <w:ind w:left="1980" w:firstLine="0"/>
      </w:pPr>
      <w:rPr>
        <w:rFonts w:hint="default"/>
      </w:rPr>
    </w:lvl>
    <w:lvl w:ilvl="3" w:tplc="0DF0F5BE" w:tentative="1">
      <w:start w:val="1"/>
      <w:numFmt w:val="decimal"/>
      <w:lvlText w:val="%4."/>
      <w:lvlJc w:val="left"/>
      <w:pPr>
        <w:tabs>
          <w:tab w:val="num" w:pos="2880"/>
        </w:tabs>
        <w:ind w:left="2880" w:hanging="360"/>
      </w:pPr>
    </w:lvl>
    <w:lvl w:ilvl="4" w:tplc="1B3E8DB8" w:tentative="1">
      <w:start w:val="1"/>
      <w:numFmt w:val="lowerLetter"/>
      <w:lvlText w:val="%5."/>
      <w:lvlJc w:val="left"/>
      <w:pPr>
        <w:tabs>
          <w:tab w:val="num" w:pos="3600"/>
        </w:tabs>
        <w:ind w:left="3600" w:hanging="360"/>
      </w:pPr>
    </w:lvl>
    <w:lvl w:ilvl="5" w:tplc="42BA6B54" w:tentative="1">
      <w:start w:val="1"/>
      <w:numFmt w:val="lowerRoman"/>
      <w:lvlText w:val="%6."/>
      <w:lvlJc w:val="right"/>
      <w:pPr>
        <w:tabs>
          <w:tab w:val="num" w:pos="4320"/>
        </w:tabs>
        <w:ind w:left="4320" w:hanging="180"/>
      </w:pPr>
    </w:lvl>
    <w:lvl w:ilvl="6" w:tplc="CFE2B422" w:tentative="1">
      <w:start w:val="1"/>
      <w:numFmt w:val="decimal"/>
      <w:lvlText w:val="%7."/>
      <w:lvlJc w:val="left"/>
      <w:pPr>
        <w:tabs>
          <w:tab w:val="num" w:pos="5040"/>
        </w:tabs>
        <w:ind w:left="5040" w:hanging="360"/>
      </w:pPr>
    </w:lvl>
    <w:lvl w:ilvl="7" w:tplc="E976029E" w:tentative="1">
      <w:start w:val="1"/>
      <w:numFmt w:val="lowerLetter"/>
      <w:lvlText w:val="%8."/>
      <w:lvlJc w:val="left"/>
      <w:pPr>
        <w:tabs>
          <w:tab w:val="num" w:pos="5760"/>
        </w:tabs>
        <w:ind w:left="5760" w:hanging="360"/>
      </w:pPr>
    </w:lvl>
    <w:lvl w:ilvl="8" w:tplc="C6FA184E" w:tentative="1">
      <w:start w:val="1"/>
      <w:numFmt w:val="lowerRoman"/>
      <w:lvlText w:val="%9."/>
      <w:lvlJc w:val="right"/>
      <w:pPr>
        <w:tabs>
          <w:tab w:val="num" w:pos="6480"/>
        </w:tabs>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4"/>
  </w:num>
  <w:num w:numId="5">
    <w:abstractNumId w:val="11"/>
  </w:num>
  <w:num w:numId="6">
    <w:abstractNumId w:val="15"/>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12"/>
  </w:num>
  <w:num w:numId="17">
    <w:abstractNumId w:val="12"/>
    <w:lvlOverride w:ilvl="0">
      <w:startOverride w:val="1"/>
    </w:lvlOverride>
  </w:num>
  <w:num w:numId="18">
    <w:abstractNumId w:val="1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B0E"/>
    <w:rsid w:val="00012916"/>
    <w:rsid w:val="000605B9"/>
    <w:rsid w:val="00081648"/>
    <w:rsid w:val="000B46A7"/>
    <w:rsid w:val="000C1E0C"/>
    <w:rsid w:val="000D21E0"/>
    <w:rsid w:val="00100BAB"/>
    <w:rsid w:val="00101DD4"/>
    <w:rsid w:val="0012020E"/>
    <w:rsid w:val="00122024"/>
    <w:rsid w:val="00142355"/>
    <w:rsid w:val="001552B9"/>
    <w:rsid w:val="00166B87"/>
    <w:rsid w:val="00170A65"/>
    <w:rsid w:val="00170DD3"/>
    <w:rsid w:val="001748CA"/>
    <w:rsid w:val="00175C93"/>
    <w:rsid w:val="001B23E0"/>
    <w:rsid w:val="001D6D0F"/>
    <w:rsid w:val="001E7D64"/>
    <w:rsid w:val="002450A9"/>
    <w:rsid w:val="00245745"/>
    <w:rsid w:val="00281ECA"/>
    <w:rsid w:val="00282BCF"/>
    <w:rsid w:val="0029530F"/>
    <w:rsid w:val="002E7A7F"/>
    <w:rsid w:val="00301C46"/>
    <w:rsid w:val="00306E68"/>
    <w:rsid w:val="00342618"/>
    <w:rsid w:val="0034799B"/>
    <w:rsid w:val="00357184"/>
    <w:rsid w:val="00362472"/>
    <w:rsid w:val="003A2298"/>
    <w:rsid w:val="003A4424"/>
    <w:rsid w:val="003C0290"/>
    <w:rsid w:val="003F5070"/>
    <w:rsid w:val="00402BFF"/>
    <w:rsid w:val="0044312A"/>
    <w:rsid w:val="00483F25"/>
    <w:rsid w:val="00492D6F"/>
    <w:rsid w:val="004A126F"/>
    <w:rsid w:val="004A2726"/>
    <w:rsid w:val="004A28BC"/>
    <w:rsid w:val="004A4B7F"/>
    <w:rsid w:val="004B48E0"/>
    <w:rsid w:val="004B4E31"/>
    <w:rsid w:val="004B5CA1"/>
    <w:rsid w:val="004B6AF8"/>
    <w:rsid w:val="00501250"/>
    <w:rsid w:val="00507D69"/>
    <w:rsid w:val="00540E71"/>
    <w:rsid w:val="00554426"/>
    <w:rsid w:val="0056056C"/>
    <w:rsid w:val="005921D3"/>
    <w:rsid w:val="005A7E1B"/>
    <w:rsid w:val="005F6E1A"/>
    <w:rsid w:val="006300A3"/>
    <w:rsid w:val="00652889"/>
    <w:rsid w:val="0066702B"/>
    <w:rsid w:val="006C0794"/>
    <w:rsid w:val="00722C14"/>
    <w:rsid w:val="0076427B"/>
    <w:rsid w:val="00775818"/>
    <w:rsid w:val="00790840"/>
    <w:rsid w:val="007C1D89"/>
    <w:rsid w:val="007D2F48"/>
    <w:rsid w:val="007E751D"/>
    <w:rsid w:val="007F2562"/>
    <w:rsid w:val="00832B7E"/>
    <w:rsid w:val="00856083"/>
    <w:rsid w:val="008830F9"/>
    <w:rsid w:val="008A2F03"/>
    <w:rsid w:val="008B78DF"/>
    <w:rsid w:val="008F7B60"/>
    <w:rsid w:val="009453E8"/>
    <w:rsid w:val="009537E0"/>
    <w:rsid w:val="00992FA6"/>
    <w:rsid w:val="009A6B0E"/>
    <w:rsid w:val="009A6EE2"/>
    <w:rsid w:val="009B6534"/>
    <w:rsid w:val="009D2D38"/>
    <w:rsid w:val="00A016CD"/>
    <w:rsid w:val="00A01CA5"/>
    <w:rsid w:val="00A102A7"/>
    <w:rsid w:val="00A208C5"/>
    <w:rsid w:val="00A32056"/>
    <w:rsid w:val="00A90C93"/>
    <w:rsid w:val="00AA5902"/>
    <w:rsid w:val="00AC252C"/>
    <w:rsid w:val="00AD03FF"/>
    <w:rsid w:val="00AE1E33"/>
    <w:rsid w:val="00B22DBD"/>
    <w:rsid w:val="00B321E8"/>
    <w:rsid w:val="00B969F2"/>
    <w:rsid w:val="00B97D7E"/>
    <w:rsid w:val="00BC1B32"/>
    <w:rsid w:val="00BF531C"/>
    <w:rsid w:val="00C11E73"/>
    <w:rsid w:val="00C21B2A"/>
    <w:rsid w:val="00C225A3"/>
    <w:rsid w:val="00C338B5"/>
    <w:rsid w:val="00C344E9"/>
    <w:rsid w:val="00C34DE2"/>
    <w:rsid w:val="00C41AE9"/>
    <w:rsid w:val="00C57210"/>
    <w:rsid w:val="00CD585A"/>
    <w:rsid w:val="00D24308"/>
    <w:rsid w:val="00D43200"/>
    <w:rsid w:val="00D74FEC"/>
    <w:rsid w:val="00D76895"/>
    <w:rsid w:val="00D81E4A"/>
    <w:rsid w:val="00D8547E"/>
    <w:rsid w:val="00D96F40"/>
    <w:rsid w:val="00E01C7E"/>
    <w:rsid w:val="00E01D19"/>
    <w:rsid w:val="00E04901"/>
    <w:rsid w:val="00E07481"/>
    <w:rsid w:val="00E25AA3"/>
    <w:rsid w:val="00E52199"/>
    <w:rsid w:val="00F06EA2"/>
    <w:rsid w:val="00F24A78"/>
    <w:rsid w:val="00FB307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1D67D"/>
  <w15:chartTrackingRefBased/>
  <w15:docId w15:val="{C6559A4D-0963-444C-816B-B6B6E2128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B0E"/>
    <w:pPr>
      <w:widowControl w:val="0"/>
      <w:bidi/>
      <w:spacing w:after="0" w:line="360" w:lineRule="auto"/>
      <w:ind w:left="340"/>
      <w:contextualSpacing/>
      <w:jc w:val="both"/>
    </w:pPr>
    <w:rPr>
      <w:rFonts w:ascii="David" w:hAnsi="David" w:cs="David"/>
      <w:sz w:val="24"/>
      <w:szCs w:val="24"/>
    </w:rPr>
  </w:style>
  <w:style w:type="paragraph" w:styleId="Heading1">
    <w:name w:val="heading 1"/>
    <w:basedOn w:val="Normal"/>
    <w:next w:val="Normal"/>
    <w:link w:val="Heading1Char"/>
    <w:uiPriority w:val="9"/>
    <w:qFormat/>
    <w:rsid w:val="009A6B0E"/>
    <w:pPr>
      <w:keepNext/>
      <w:keepLines/>
      <w:spacing w:before="240"/>
      <w:jc w:val="center"/>
      <w:outlineLvl w:val="0"/>
    </w:pPr>
    <w:rPr>
      <w:rFonts w:asciiTheme="majorHAnsi" w:eastAsiaTheme="majorEastAsia" w:hAnsiTheme="majorHAnsi"/>
      <w:bCs/>
      <w:sz w:val="32"/>
      <w:szCs w:val="36"/>
    </w:rPr>
  </w:style>
  <w:style w:type="paragraph" w:styleId="Heading2">
    <w:name w:val="heading 2"/>
    <w:basedOn w:val="Normal"/>
    <w:next w:val="Normal"/>
    <w:link w:val="Heading2Char"/>
    <w:unhideWhenUsed/>
    <w:qFormat/>
    <w:rsid w:val="009A6B0E"/>
    <w:pPr>
      <w:ind w:left="0"/>
      <w:jc w:val="left"/>
      <w:outlineLvl w:val="1"/>
    </w:pPr>
    <w:rPr>
      <w:rFonts w:asciiTheme="majorHAnsi" w:eastAsiaTheme="majorEastAsia" w:hAnsiTheme="majorHAnsi"/>
      <w:bCs/>
      <w:sz w:val="26"/>
      <w:szCs w:val="36"/>
      <w:u w:val="single"/>
    </w:rPr>
  </w:style>
  <w:style w:type="paragraph" w:styleId="Heading3">
    <w:name w:val="heading 3"/>
    <w:basedOn w:val="Normal"/>
    <w:next w:val="Normal"/>
    <w:link w:val="Heading3Char"/>
    <w:unhideWhenUsed/>
    <w:qFormat/>
    <w:rsid w:val="009A6B0E"/>
    <w:pPr>
      <w:spacing w:before="40"/>
      <w:ind w:left="0"/>
      <w:jc w:val="left"/>
      <w:outlineLvl w:val="2"/>
    </w:pPr>
    <w:rPr>
      <w:rFonts w:asciiTheme="majorHAnsi" w:eastAsiaTheme="majorEastAsia" w:hAnsiTheme="majorHAnsi"/>
      <w:szCs w:val="28"/>
      <w:u w:val="double"/>
    </w:rPr>
  </w:style>
  <w:style w:type="paragraph" w:styleId="Heading4">
    <w:name w:val="heading 4"/>
    <w:basedOn w:val="Normal"/>
    <w:next w:val="Normal"/>
    <w:link w:val="Heading4Char"/>
    <w:uiPriority w:val="9"/>
    <w:unhideWhenUsed/>
    <w:qFormat/>
    <w:rsid w:val="009A6B0E"/>
    <w:pPr>
      <w:numPr>
        <w:numId w:val="1"/>
      </w:numPr>
      <w:spacing w:before="40" w:after="120"/>
      <w:outlineLvl w:val="3"/>
    </w:pPr>
    <w:rPr>
      <w:b/>
      <w:bCs/>
      <w:color w:val="000000" w:themeColor="text1"/>
      <w:szCs w:val="28"/>
    </w:rPr>
  </w:style>
  <w:style w:type="paragraph" w:styleId="Heading5">
    <w:name w:val="heading 5"/>
    <w:basedOn w:val="Normal"/>
    <w:next w:val="Normal"/>
    <w:link w:val="Heading5Char"/>
    <w:uiPriority w:val="9"/>
    <w:unhideWhenUsed/>
    <w:qFormat/>
    <w:rsid w:val="009A6B0E"/>
    <w:pPr>
      <w:spacing w:line="259" w:lineRule="auto"/>
      <w:outlineLvl w:val="4"/>
    </w:pPr>
    <w:rPr>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6B0E"/>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9A6B0E"/>
    <w:rPr>
      <w:rFonts w:ascii="David" w:hAnsi="David" w:cs="David"/>
      <w:b/>
      <w:bCs/>
      <w:color w:val="000000" w:themeColor="text1"/>
      <w:sz w:val="24"/>
      <w:szCs w:val="28"/>
    </w:rPr>
  </w:style>
  <w:style w:type="paragraph" w:customStyle="1" w:styleId="TableText">
    <w:name w:val="Table Text"/>
    <w:basedOn w:val="Normal"/>
    <w:rsid w:val="009A6B0E"/>
    <w:pPr>
      <w:keepLines/>
      <w:tabs>
        <w:tab w:val="left" w:pos="624"/>
        <w:tab w:val="left" w:pos="1247"/>
      </w:tabs>
      <w:snapToGrid w:val="0"/>
      <w:ind w:left="0"/>
      <w:jc w:val="left"/>
    </w:pPr>
    <w:rPr>
      <w:rFonts w:ascii="Arial" w:eastAsia="Arial Unicode MS" w:hAnsi="Arial"/>
      <w:snapToGrid w:val="0"/>
      <w:sz w:val="20"/>
      <w:szCs w:val="26"/>
    </w:rPr>
  </w:style>
  <w:style w:type="paragraph" w:customStyle="1" w:styleId="TableSideHeading">
    <w:name w:val="Table SideHeading"/>
    <w:basedOn w:val="TableText"/>
    <w:rsid w:val="009A6B0E"/>
    <w:pPr>
      <w:outlineLvl w:val="2"/>
    </w:pPr>
  </w:style>
  <w:style w:type="paragraph" w:customStyle="1" w:styleId="TableBlock">
    <w:name w:val="Table Block"/>
    <w:basedOn w:val="TableText"/>
    <w:rsid w:val="009A6B0E"/>
    <w:pPr>
      <w:jc w:val="both"/>
    </w:pPr>
  </w:style>
  <w:style w:type="paragraph" w:customStyle="1" w:styleId="TableHead">
    <w:name w:val="Table Head"/>
    <w:basedOn w:val="TableText"/>
    <w:rsid w:val="009A6B0E"/>
    <w:pPr>
      <w:jc w:val="center"/>
      <w:outlineLvl w:val="1"/>
    </w:pPr>
    <w:rPr>
      <w:b/>
      <w:bCs/>
    </w:rPr>
  </w:style>
  <w:style w:type="paragraph" w:customStyle="1" w:styleId="HeadMitparsemetBaze">
    <w:name w:val="Head MitparsemetBaze"/>
    <w:basedOn w:val="Normal"/>
    <w:rsid w:val="009A6B0E"/>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9A6B0E"/>
    <w:pPr>
      <w:keepNext/>
      <w:keepLines/>
      <w:snapToGrid w:val="0"/>
      <w:spacing w:before="240"/>
      <w:jc w:val="center"/>
      <w:outlineLvl w:val="0"/>
    </w:pPr>
    <w:rPr>
      <w:rFonts w:ascii="Arial" w:eastAsia="Arial Unicode MS" w:hAnsi="Arial"/>
      <w:b/>
      <w:bCs/>
      <w:snapToGrid w:val="0"/>
      <w:sz w:val="20"/>
      <w:szCs w:val="26"/>
    </w:rPr>
  </w:style>
  <w:style w:type="paragraph" w:customStyle="1" w:styleId="Hesber1st">
    <w:name w:val="Hesber 1st"/>
    <w:basedOn w:val="Hesber"/>
    <w:rsid w:val="009A6B0E"/>
    <w:pPr>
      <w:tabs>
        <w:tab w:val="left" w:pos="680"/>
        <w:tab w:val="left" w:pos="1020"/>
      </w:tabs>
      <w:ind w:firstLine="0"/>
    </w:pPr>
  </w:style>
  <w:style w:type="paragraph" w:customStyle="1" w:styleId="HeadDivreiHesber">
    <w:name w:val="Head DivreiHesber"/>
    <w:basedOn w:val="Normal"/>
    <w:rsid w:val="009A6B0E"/>
    <w:pPr>
      <w:snapToGrid w:val="0"/>
      <w:spacing w:before="360" w:after="120"/>
      <w:jc w:val="center"/>
      <w:outlineLvl w:val="1"/>
    </w:pPr>
    <w:rPr>
      <w:rFonts w:ascii="Arial" w:eastAsia="Arial Unicode MS" w:hAnsi="Arial"/>
      <w:b/>
      <w:snapToGrid w:val="0"/>
      <w:spacing w:val="40"/>
      <w:sz w:val="20"/>
      <w:szCs w:val="26"/>
    </w:rPr>
  </w:style>
  <w:style w:type="character" w:customStyle="1" w:styleId="Heading2Char">
    <w:name w:val="Heading 2 Char"/>
    <w:basedOn w:val="DefaultParagraphFont"/>
    <w:link w:val="Heading2"/>
    <w:rsid w:val="009A6B0E"/>
    <w:rPr>
      <w:rFonts w:asciiTheme="majorHAnsi" w:eastAsiaTheme="majorEastAsia" w:hAnsiTheme="majorHAnsi" w:cs="David"/>
      <w:bCs/>
      <w:sz w:val="26"/>
      <w:szCs w:val="36"/>
      <w:u w:val="single"/>
    </w:rPr>
  </w:style>
  <w:style w:type="character" w:customStyle="1" w:styleId="Heading3Char">
    <w:name w:val="Heading 3 Char"/>
    <w:basedOn w:val="DefaultParagraphFont"/>
    <w:link w:val="Heading3"/>
    <w:rsid w:val="009A6B0E"/>
    <w:rPr>
      <w:rFonts w:asciiTheme="majorHAnsi" w:eastAsiaTheme="majorEastAsia" w:hAnsiTheme="majorHAnsi" w:cs="David"/>
      <w:sz w:val="24"/>
      <w:szCs w:val="28"/>
      <w:u w:val="double"/>
    </w:rPr>
  </w:style>
  <w:style w:type="character" w:customStyle="1" w:styleId="Heading5Char">
    <w:name w:val="Heading 5 Char"/>
    <w:basedOn w:val="DefaultParagraphFont"/>
    <w:link w:val="Heading5"/>
    <w:uiPriority w:val="9"/>
    <w:rsid w:val="009A6B0E"/>
    <w:rPr>
      <w:rFonts w:ascii="David" w:hAnsi="David" w:cs="David"/>
      <w:color w:val="000000" w:themeColor="text1"/>
      <w:sz w:val="24"/>
      <w:szCs w:val="24"/>
    </w:rPr>
  </w:style>
  <w:style w:type="paragraph" w:customStyle="1" w:styleId="HeadHatzaotHok4Futer">
    <w:name w:val="Head HatzaotHok4Futer"/>
    <w:basedOn w:val="HeadHatzaotHok"/>
    <w:rsid w:val="009A6B0E"/>
    <w:pPr>
      <w:spacing w:before="120" w:after="120"/>
    </w:pPr>
    <w:rPr>
      <w:color w:val="FF0000"/>
      <w:w w:val="80"/>
    </w:rPr>
  </w:style>
  <w:style w:type="paragraph" w:styleId="EndnoteText">
    <w:name w:val="endnote text"/>
    <w:basedOn w:val="Normal"/>
    <w:link w:val="EndnoteTextChar"/>
    <w:semiHidden/>
    <w:rsid w:val="009A6B0E"/>
    <w:pPr>
      <w:ind w:left="227" w:hanging="227"/>
    </w:pPr>
    <w:rPr>
      <w:sz w:val="14"/>
      <w:szCs w:val="22"/>
    </w:rPr>
  </w:style>
  <w:style w:type="character" w:customStyle="1" w:styleId="EndnoteTextChar">
    <w:name w:val="Endnote Text Char"/>
    <w:basedOn w:val="DefaultParagraphFont"/>
    <w:link w:val="EndnoteText"/>
    <w:semiHidden/>
    <w:rsid w:val="009A6B0E"/>
    <w:rPr>
      <w:rFonts w:ascii="David" w:hAnsi="David" w:cs="David"/>
      <w:sz w:val="14"/>
    </w:rPr>
  </w:style>
  <w:style w:type="paragraph" w:customStyle="1" w:styleId="TableInnerSideHeading">
    <w:name w:val="Table InnerSideHeading"/>
    <w:basedOn w:val="TableSideHeading"/>
    <w:rsid w:val="009A6B0E"/>
    <w:pPr>
      <w:outlineLvl w:val="9"/>
    </w:pPr>
  </w:style>
  <w:style w:type="paragraph" w:customStyle="1" w:styleId="Hesber">
    <w:name w:val="Hesber"/>
    <w:basedOn w:val="Normal"/>
    <w:rsid w:val="009A6B0E"/>
    <w:pPr>
      <w:snapToGrid w:val="0"/>
      <w:ind w:left="0" w:firstLine="340"/>
    </w:pPr>
    <w:rPr>
      <w:rFonts w:ascii="Arial" w:eastAsia="Arial Unicode MS" w:hAnsi="Arial"/>
      <w:snapToGrid w:val="0"/>
      <w:sz w:val="20"/>
      <w:szCs w:val="26"/>
    </w:rPr>
  </w:style>
  <w:style w:type="paragraph" w:styleId="FootnoteText">
    <w:name w:val="footnote text"/>
    <w:basedOn w:val="Normal"/>
    <w:link w:val="FootnoteTextChar"/>
    <w:autoRedefine/>
    <w:semiHidden/>
    <w:rsid w:val="009A6B0E"/>
    <w:pPr>
      <w:snapToGrid w:val="0"/>
      <w:spacing w:line="240" w:lineRule="auto"/>
      <w:ind w:left="0"/>
      <w:jc w:val="left"/>
    </w:pPr>
    <w:rPr>
      <w:rFonts w:ascii="Arial" w:eastAsia="Arial Unicode MS" w:hAnsi="Arial"/>
      <w:snapToGrid w:val="0"/>
      <w:sz w:val="14"/>
      <w:szCs w:val="20"/>
    </w:rPr>
  </w:style>
  <w:style w:type="character" w:customStyle="1" w:styleId="FootnoteTextChar">
    <w:name w:val="Footnote Text Char"/>
    <w:basedOn w:val="DefaultParagraphFont"/>
    <w:link w:val="FootnoteText"/>
    <w:semiHidden/>
    <w:rsid w:val="009A6B0E"/>
    <w:rPr>
      <w:rFonts w:ascii="Arial" w:eastAsia="Arial Unicode MS" w:hAnsi="Arial" w:cs="David"/>
      <w:snapToGrid w:val="0"/>
      <w:sz w:val="14"/>
      <w:szCs w:val="20"/>
    </w:rPr>
  </w:style>
  <w:style w:type="character" w:styleId="FootnoteReference">
    <w:name w:val="footnote reference"/>
    <w:aliases w:val="Footnote Reference_0"/>
    <w:basedOn w:val="DefaultParagraphFont"/>
    <w:semiHidden/>
    <w:rsid w:val="009A6B0E"/>
    <w:rPr>
      <w:vertAlign w:val="superscript"/>
    </w:rPr>
  </w:style>
  <w:style w:type="paragraph" w:customStyle="1" w:styleId="HesberHeading">
    <w:name w:val="Hesber Heading"/>
    <w:basedOn w:val="Hesber"/>
    <w:rsid w:val="009A6B0E"/>
    <w:pPr>
      <w:tabs>
        <w:tab w:val="left" w:pos="624"/>
        <w:tab w:val="left" w:pos="1247"/>
      </w:tabs>
    </w:pPr>
    <w:rPr>
      <w:b/>
      <w:bCs/>
    </w:rPr>
  </w:style>
  <w:style w:type="paragraph" w:customStyle="1" w:styleId="HesberWriters">
    <w:name w:val="Hesber Writers"/>
    <w:basedOn w:val="Hesber"/>
    <w:rsid w:val="009A6B0E"/>
    <w:pPr>
      <w:spacing w:before="120" w:after="120"/>
      <w:ind w:left="1418"/>
      <w:jc w:val="right"/>
    </w:pPr>
    <w:rPr>
      <w:b/>
      <w:bCs/>
    </w:rPr>
  </w:style>
  <w:style w:type="character" w:styleId="EndnoteReference">
    <w:name w:val="endnote reference"/>
    <w:basedOn w:val="DefaultParagraphFont"/>
    <w:semiHidden/>
    <w:rsid w:val="009A6B0E"/>
    <w:rPr>
      <w:vertAlign w:val="superscript"/>
    </w:rPr>
  </w:style>
  <w:style w:type="paragraph" w:customStyle="1" w:styleId="TableBlockOutdent">
    <w:name w:val="Table BlockOutdent"/>
    <w:basedOn w:val="TableBlock"/>
    <w:rsid w:val="009A6B0E"/>
    <w:pPr>
      <w:ind w:left="624" w:hanging="624"/>
    </w:pPr>
  </w:style>
  <w:style w:type="paragraph" w:styleId="Header">
    <w:name w:val="header"/>
    <w:basedOn w:val="Normal"/>
    <w:link w:val="HeaderChar"/>
    <w:rsid w:val="009A6B0E"/>
    <w:pPr>
      <w:tabs>
        <w:tab w:val="center" w:pos="4153"/>
        <w:tab w:val="right" w:pos="8306"/>
      </w:tabs>
    </w:pPr>
  </w:style>
  <w:style w:type="character" w:customStyle="1" w:styleId="HeaderChar">
    <w:name w:val="Header Char"/>
    <w:basedOn w:val="DefaultParagraphFont"/>
    <w:link w:val="Header"/>
    <w:rsid w:val="009A6B0E"/>
    <w:rPr>
      <w:rFonts w:ascii="David" w:hAnsi="David" w:cs="David"/>
      <w:sz w:val="24"/>
      <w:szCs w:val="24"/>
    </w:rPr>
  </w:style>
  <w:style w:type="paragraph" w:styleId="Footer">
    <w:name w:val="footer"/>
    <w:basedOn w:val="Normal"/>
    <w:link w:val="FooterChar"/>
    <w:rsid w:val="009A6B0E"/>
    <w:pPr>
      <w:tabs>
        <w:tab w:val="center" w:pos="4153"/>
        <w:tab w:val="right" w:pos="8306"/>
      </w:tabs>
    </w:pPr>
  </w:style>
  <w:style w:type="character" w:customStyle="1" w:styleId="FooterChar">
    <w:name w:val="Footer Char"/>
    <w:basedOn w:val="DefaultParagraphFont"/>
    <w:link w:val="Footer"/>
    <w:rsid w:val="009A6B0E"/>
    <w:rPr>
      <w:rFonts w:ascii="David" w:hAnsi="David" w:cs="David"/>
      <w:sz w:val="24"/>
      <w:szCs w:val="24"/>
    </w:rPr>
  </w:style>
  <w:style w:type="character" w:styleId="PageNumber">
    <w:name w:val="page number"/>
    <w:basedOn w:val="DefaultParagraphFont"/>
    <w:rsid w:val="009A6B0E"/>
  </w:style>
  <w:style w:type="paragraph" w:customStyle="1" w:styleId="Cover1-Reshumot">
    <w:name w:val="Cover 1-Reshumot"/>
    <w:basedOn w:val="Normal"/>
    <w:rsid w:val="009A6B0E"/>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9A6B0E"/>
    <w:rPr>
      <w:sz w:val="36"/>
      <w:szCs w:val="52"/>
    </w:rPr>
  </w:style>
  <w:style w:type="paragraph" w:customStyle="1" w:styleId="Cover3-Haknesset">
    <w:name w:val="Cover 3-Haknesset"/>
    <w:basedOn w:val="Cover1-Reshumot"/>
    <w:rsid w:val="009A6B0E"/>
    <w:rPr>
      <w:b/>
      <w:bCs/>
      <w:spacing w:val="60"/>
    </w:rPr>
  </w:style>
  <w:style w:type="paragraph" w:customStyle="1" w:styleId="Cover4-Date">
    <w:name w:val="Cover 4-Date"/>
    <w:basedOn w:val="Normal"/>
    <w:rsid w:val="009A6B0E"/>
    <w:pPr>
      <w:pBdr>
        <w:bottom w:val="single" w:sz="4" w:space="0" w:color="auto"/>
      </w:pBdr>
      <w:tabs>
        <w:tab w:val="center" w:pos="4820"/>
        <w:tab w:val="right" w:pos="9639"/>
      </w:tabs>
      <w:snapToGrid w:val="0"/>
      <w:spacing w:before="240" w:after="240"/>
      <w:jc w:val="left"/>
    </w:pPr>
    <w:rPr>
      <w:rFonts w:ascii="Arial" w:eastAsia="Arial Unicode MS" w:hAnsi="Arial"/>
      <w:snapToGrid w:val="0"/>
      <w:sz w:val="20"/>
      <w:szCs w:val="26"/>
    </w:rPr>
  </w:style>
  <w:style w:type="paragraph" w:customStyle="1" w:styleId="Ragil">
    <w:name w:val="Ragil"/>
    <w:basedOn w:val="Normal"/>
    <w:rsid w:val="009A6B0E"/>
    <w:pPr>
      <w:snapToGrid w:val="0"/>
      <w:jc w:val="left"/>
    </w:pPr>
    <w:rPr>
      <w:rFonts w:ascii="Arial" w:eastAsia="Arial Unicode MS" w:hAnsi="Arial"/>
      <w:snapToGrid w:val="0"/>
      <w:sz w:val="20"/>
      <w:szCs w:val="26"/>
    </w:rPr>
  </w:style>
  <w:style w:type="paragraph" w:styleId="TOCHeading">
    <w:name w:val="TOC Heading"/>
    <w:basedOn w:val="Heading1"/>
    <w:next w:val="Normal"/>
    <w:uiPriority w:val="39"/>
    <w:unhideWhenUsed/>
    <w:qFormat/>
    <w:rsid w:val="009A6B0E"/>
    <w:pPr>
      <w:widowControl/>
      <w:spacing w:before="120" w:after="120"/>
      <w:outlineLvl w:val="9"/>
    </w:pPr>
    <w:rPr>
      <w:rtl/>
      <w:cs/>
    </w:rPr>
  </w:style>
  <w:style w:type="paragraph" w:styleId="TOC1">
    <w:name w:val="toc 1"/>
    <w:basedOn w:val="Normal"/>
    <w:next w:val="Normal"/>
    <w:autoRedefine/>
    <w:uiPriority w:val="39"/>
    <w:unhideWhenUsed/>
    <w:rsid w:val="009A6B0E"/>
    <w:pPr>
      <w:tabs>
        <w:tab w:val="right" w:leader="dot" w:pos="9629"/>
      </w:tabs>
      <w:spacing w:after="100"/>
    </w:pPr>
    <w:rPr>
      <w:bCs/>
      <w:szCs w:val="22"/>
    </w:rPr>
  </w:style>
  <w:style w:type="paragraph" w:styleId="TOC2">
    <w:name w:val="toc 2"/>
    <w:basedOn w:val="Normal"/>
    <w:next w:val="Normal"/>
    <w:uiPriority w:val="39"/>
    <w:unhideWhenUsed/>
    <w:rsid w:val="009A6B0E"/>
    <w:pPr>
      <w:tabs>
        <w:tab w:val="right" w:leader="dot" w:pos="9628"/>
      </w:tabs>
      <w:spacing w:after="100"/>
    </w:pPr>
    <w:rPr>
      <w:szCs w:val="22"/>
    </w:rPr>
  </w:style>
  <w:style w:type="character" w:styleId="Hyperlink">
    <w:name w:val="Hyperlink"/>
    <w:basedOn w:val="DefaultParagraphFont"/>
    <w:uiPriority w:val="99"/>
    <w:unhideWhenUsed/>
    <w:rsid w:val="009A6B0E"/>
    <w:rPr>
      <w:color w:val="0563C1" w:themeColor="hyperlink"/>
      <w:u w:val="single"/>
    </w:rPr>
  </w:style>
  <w:style w:type="paragraph" w:styleId="TOC3">
    <w:name w:val="toc 3"/>
    <w:basedOn w:val="Normal"/>
    <w:next w:val="Normal"/>
    <w:uiPriority w:val="39"/>
    <w:unhideWhenUsed/>
    <w:rsid w:val="009A6B0E"/>
    <w:pPr>
      <w:numPr>
        <w:numId w:val="19"/>
      </w:numPr>
      <w:tabs>
        <w:tab w:val="right" w:leader="dot" w:pos="9629"/>
      </w:tabs>
      <w:spacing w:after="100"/>
      <w:ind w:left="811" w:hanging="357"/>
    </w:pPr>
    <w:rPr>
      <w:szCs w:val="22"/>
    </w:rPr>
  </w:style>
  <w:style w:type="paragraph" w:styleId="TOC4">
    <w:name w:val="toc 4"/>
    <w:basedOn w:val="Normal"/>
    <w:next w:val="Normal"/>
    <w:autoRedefine/>
    <w:unhideWhenUsed/>
    <w:qFormat/>
    <w:rsid w:val="009A6B0E"/>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Normal"/>
    <w:next w:val="Normal"/>
    <w:semiHidden/>
    <w:unhideWhenUsed/>
    <w:rsid w:val="009A6B0E"/>
    <w:pPr>
      <w:tabs>
        <w:tab w:val="right" w:leader="dot" w:pos="9628"/>
      </w:tabs>
      <w:spacing w:after="100"/>
      <w:ind w:left="567"/>
    </w:pPr>
    <w:rPr>
      <w:szCs w:val="22"/>
    </w:rPr>
  </w:style>
  <w:style w:type="paragraph" w:styleId="TOC6">
    <w:name w:val="toc 6"/>
    <w:basedOn w:val="Normal"/>
    <w:next w:val="Normal"/>
    <w:autoRedefine/>
    <w:semiHidden/>
    <w:unhideWhenUsed/>
    <w:rsid w:val="009A6B0E"/>
    <w:pPr>
      <w:spacing w:after="100"/>
      <w:ind w:left="850"/>
    </w:pPr>
  </w:style>
  <w:style w:type="paragraph" w:styleId="TOC7">
    <w:name w:val="toc 7"/>
    <w:basedOn w:val="Normal"/>
    <w:next w:val="Normal"/>
    <w:autoRedefine/>
    <w:semiHidden/>
    <w:unhideWhenUsed/>
    <w:rsid w:val="009A6B0E"/>
    <w:pPr>
      <w:spacing w:after="100"/>
      <w:ind w:left="1020"/>
    </w:pPr>
  </w:style>
  <w:style w:type="paragraph" w:styleId="TOC8">
    <w:name w:val="toc 8"/>
    <w:basedOn w:val="Normal"/>
    <w:next w:val="Normal"/>
    <w:autoRedefine/>
    <w:semiHidden/>
    <w:unhideWhenUsed/>
    <w:rsid w:val="009A6B0E"/>
    <w:pPr>
      <w:spacing w:after="100"/>
      <w:ind w:left="1190"/>
    </w:pPr>
  </w:style>
  <w:style w:type="paragraph" w:styleId="TOC9">
    <w:name w:val="toc 9"/>
    <w:basedOn w:val="Normal"/>
    <w:next w:val="Normal"/>
    <w:autoRedefine/>
    <w:semiHidden/>
    <w:unhideWhenUsed/>
    <w:rsid w:val="009A6B0E"/>
    <w:pPr>
      <w:spacing w:after="100"/>
      <w:ind w:left="1360"/>
    </w:pPr>
  </w:style>
  <w:style w:type="paragraph" w:customStyle="1" w:styleId="TableHead2">
    <w:name w:val="Table Head2"/>
    <w:basedOn w:val="TableHead"/>
    <w:qFormat/>
    <w:rsid w:val="009A6B0E"/>
    <w:pPr>
      <w:outlineLvl w:val="9"/>
    </w:pPr>
  </w:style>
  <w:style w:type="paragraph" w:customStyle="1" w:styleId="TableSideHeading2">
    <w:name w:val="Table SideHeading2"/>
    <w:basedOn w:val="TableSideHeading"/>
    <w:autoRedefine/>
    <w:qFormat/>
    <w:rsid w:val="009A6B0E"/>
    <w:pPr>
      <w:keepLines w:val="0"/>
      <w:outlineLvl w:val="9"/>
    </w:pPr>
  </w:style>
  <w:style w:type="paragraph" w:customStyle="1" w:styleId="0">
    <w:name w:val="סגנון שורה ראשונה:  0  ס''מ"/>
    <w:basedOn w:val="Heading2"/>
    <w:rsid w:val="009A6B0E"/>
    <w:rPr>
      <w:rFonts w:eastAsia="Times New Roman"/>
    </w:rPr>
  </w:style>
  <w:style w:type="paragraph" w:styleId="ListParagraph">
    <w:name w:val="List Paragraph"/>
    <w:basedOn w:val="Normal"/>
    <w:uiPriority w:val="34"/>
    <w:qFormat/>
    <w:rsid w:val="009A6B0E"/>
    <w:pPr>
      <w:widowControl/>
      <w:spacing w:line="259" w:lineRule="auto"/>
    </w:pPr>
    <w:rPr>
      <w:rFonts w:asciiTheme="minorHAnsi" w:hAnsiTheme="minorHAnsi"/>
      <w:sz w:val="22"/>
    </w:rPr>
  </w:style>
  <w:style w:type="table" w:styleId="TableGrid">
    <w:name w:val="Table Grid"/>
    <w:basedOn w:val="TableNormal"/>
    <w:rsid w:val="009A6B0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9A6B0E"/>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9A6B0E"/>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name w:val="טבלת חקיקה"/>
    <w:basedOn w:val="TableNormal"/>
    <w:uiPriority w:val="99"/>
    <w:rsid w:val="009A6B0E"/>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
    <w:name w:val="סגנון1"/>
    <w:basedOn w:val="TableNormal"/>
    <w:uiPriority w:val="99"/>
    <w:rsid w:val="009A6B0E"/>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paragraph" w:styleId="BalloonText">
    <w:name w:val="Balloon Text"/>
    <w:basedOn w:val="Normal"/>
    <w:link w:val="BalloonTextChar"/>
    <w:uiPriority w:val="99"/>
    <w:semiHidden/>
    <w:unhideWhenUsed/>
    <w:rsid w:val="004A126F"/>
    <w:pPr>
      <w:spacing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4A126F"/>
    <w:rPr>
      <w:rFonts w:ascii="Tahoma" w:hAnsi="Tahoma" w:cs="Tahoma"/>
      <w:sz w:val="18"/>
      <w:szCs w:val="18"/>
    </w:rPr>
  </w:style>
  <w:style w:type="character" w:styleId="CommentReference">
    <w:name w:val="annotation reference"/>
    <w:basedOn w:val="DefaultParagraphFont"/>
    <w:uiPriority w:val="99"/>
    <w:semiHidden/>
    <w:unhideWhenUsed/>
    <w:rsid w:val="009D2D38"/>
    <w:rPr>
      <w:sz w:val="16"/>
      <w:szCs w:val="16"/>
    </w:rPr>
  </w:style>
  <w:style w:type="paragraph" w:styleId="CommentText">
    <w:name w:val="annotation text"/>
    <w:basedOn w:val="Normal"/>
    <w:link w:val="CommentTextChar"/>
    <w:uiPriority w:val="99"/>
    <w:semiHidden/>
    <w:unhideWhenUsed/>
    <w:rsid w:val="009D2D38"/>
    <w:pPr>
      <w:spacing w:line="240" w:lineRule="auto"/>
    </w:pPr>
    <w:rPr>
      <w:sz w:val="20"/>
      <w:szCs w:val="20"/>
    </w:rPr>
  </w:style>
  <w:style w:type="character" w:customStyle="1" w:styleId="CommentTextChar">
    <w:name w:val="Comment Text Char"/>
    <w:basedOn w:val="DefaultParagraphFont"/>
    <w:link w:val="CommentText"/>
    <w:uiPriority w:val="99"/>
    <w:semiHidden/>
    <w:rsid w:val="009D2D38"/>
    <w:rPr>
      <w:rFonts w:ascii="David" w:hAnsi="David" w:cs="David"/>
      <w:sz w:val="20"/>
      <w:szCs w:val="20"/>
    </w:rPr>
  </w:style>
  <w:style w:type="paragraph" w:styleId="CommentSubject">
    <w:name w:val="annotation subject"/>
    <w:basedOn w:val="CommentText"/>
    <w:next w:val="CommentText"/>
    <w:link w:val="CommentSubjectChar"/>
    <w:uiPriority w:val="99"/>
    <w:semiHidden/>
    <w:unhideWhenUsed/>
    <w:rsid w:val="009D2D38"/>
    <w:rPr>
      <w:b/>
      <w:bCs/>
    </w:rPr>
  </w:style>
  <w:style w:type="character" w:customStyle="1" w:styleId="CommentSubjectChar">
    <w:name w:val="Comment Subject Char"/>
    <w:basedOn w:val="CommentTextChar"/>
    <w:link w:val="CommentSubject"/>
    <w:uiPriority w:val="99"/>
    <w:semiHidden/>
    <w:rsid w:val="009D2D38"/>
    <w:rPr>
      <w:rFonts w:ascii="David" w:hAnsi="David" w:cs="David"/>
      <w:b/>
      <w:bCs/>
      <w:sz w:val="20"/>
      <w:szCs w:val="20"/>
    </w:rPr>
  </w:style>
  <w:style w:type="paragraph" w:customStyle="1" w:styleId="p00">
    <w:name w:val="p00"/>
    <w:basedOn w:val="Normal"/>
    <w:rsid w:val="00D74FEC"/>
    <w:pPr>
      <w:widowControl/>
      <w:bidi w:val="0"/>
      <w:spacing w:before="100" w:beforeAutospacing="1" w:after="100" w:afterAutospacing="1" w:line="240" w:lineRule="auto"/>
      <w:ind w:left="0"/>
      <w:contextualSpacing w:val="0"/>
      <w:jc w:val="left"/>
    </w:pPr>
    <w:rPr>
      <w:rFonts w:ascii="Times New Roman" w:eastAsia="Times New Roman" w:hAnsi="Times New Roman" w:cs="Times New Roman"/>
    </w:rPr>
  </w:style>
  <w:style w:type="character" w:customStyle="1" w:styleId="big-number">
    <w:name w:val="big-number"/>
    <w:basedOn w:val="DefaultParagraphFont"/>
    <w:rsid w:val="00D74FEC"/>
  </w:style>
  <w:style w:type="character" w:customStyle="1" w:styleId="default">
    <w:name w:val="default"/>
    <w:basedOn w:val="DefaultParagraphFont"/>
    <w:rsid w:val="00D74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FD8A9-E316-4664-A47B-ED5B19DBF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619</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Liron Naim</dc:creator>
  <cp:lastModifiedBy>Melita Shafir</cp:lastModifiedBy>
  <cp:revision>2</cp:revision>
  <dcterms:created xsi:type="dcterms:W3CDTF">2021-03-18T07:57:00Z</dcterms:created>
  <dcterms:modified xsi:type="dcterms:W3CDTF">2021-03-18T07:57:00Z</dcterms:modified>
</cp:coreProperties>
</file>